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FFE95" w14:textId="77777777" w:rsidR="00415971" w:rsidRDefault="008E6DD4">
      <w:pPr>
        <w:jc w:val="both"/>
        <w:rPr>
          <w:rFonts w:ascii="Arial" w:eastAsia="Arial" w:hAnsi="Arial" w:cs="Arial"/>
          <w:sz w:val="16"/>
          <w:szCs w:val="16"/>
        </w:rPr>
      </w:pPr>
      <w:r>
        <w:rPr>
          <w:rFonts w:ascii="Arial" w:hAnsi="Arial"/>
          <w:noProof/>
          <w:sz w:val="16"/>
          <w:szCs w:val="16"/>
          <w:lang w:val="ru-RU"/>
        </w:rPr>
        <w:drawing>
          <wp:anchor distT="57150" distB="57150" distL="57150" distR="57150" simplePos="0" relativeHeight="251659264" behindDoc="0" locked="0" layoutInCell="1" allowOverlap="1" wp14:anchorId="4357A876" wp14:editId="14E69488">
            <wp:simplePos x="0" y="0"/>
            <wp:positionH relativeFrom="column">
              <wp:posOffset>2586354</wp:posOffset>
            </wp:positionH>
            <wp:positionV relativeFrom="line">
              <wp:posOffset>-92075</wp:posOffset>
            </wp:positionV>
            <wp:extent cx="1143000" cy="833756"/>
            <wp:effectExtent l="0" t="0" r="0" b="0"/>
            <wp:wrapSquare wrapText="bothSides" distT="57150" distB="57150" distL="57150" distR="57150"/>
            <wp:docPr id="1073741825" name="officeArt object" descr="Picture 7"/>
            <wp:cNvGraphicFramePr/>
            <a:graphic xmlns:a="http://schemas.openxmlformats.org/drawingml/2006/main">
              <a:graphicData uri="http://schemas.openxmlformats.org/drawingml/2006/picture">
                <pic:pic xmlns:pic="http://schemas.openxmlformats.org/drawingml/2006/picture">
                  <pic:nvPicPr>
                    <pic:cNvPr id="1073741825" name="Picture 7" descr="Picture 7"/>
                    <pic:cNvPicPr>
                      <a:picLocks noChangeAspect="1"/>
                    </pic:cNvPicPr>
                  </pic:nvPicPr>
                  <pic:blipFill>
                    <a:blip r:embed="rId7"/>
                    <a:stretch>
                      <a:fillRect/>
                    </a:stretch>
                  </pic:blipFill>
                  <pic:spPr>
                    <a:xfrm>
                      <a:off x="0" y="0"/>
                      <a:ext cx="1143000" cy="833756"/>
                    </a:xfrm>
                    <a:prstGeom prst="rect">
                      <a:avLst/>
                    </a:prstGeom>
                    <a:ln w="12700" cap="flat">
                      <a:noFill/>
                      <a:miter lim="400000"/>
                    </a:ln>
                    <a:effectLst/>
                  </pic:spPr>
                </pic:pic>
              </a:graphicData>
            </a:graphic>
          </wp:anchor>
        </w:drawing>
      </w:r>
    </w:p>
    <w:p w14:paraId="330655B3" w14:textId="77777777" w:rsidR="00415971" w:rsidRDefault="00415971">
      <w:pPr>
        <w:jc w:val="both"/>
        <w:rPr>
          <w:rFonts w:ascii="Arial" w:eastAsia="Arial" w:hAnsi="Arial" w:cs="Arial"/>
          <w:sz w:val="18"/>
          <w:szCs w:val="18"/>
        </w:rPr>
      </w:pPr>
    </w:p>
    <w:p w14:paraId="15127704" w14:textId="77777777" w:rsidR="00415971" w:rsidRDefault="00415971">
      <w:pPr>
        <w:jc w:val="both"/>
        <w:rPr>
          <w:rFonts w:ascii="Arial" w:eastAsia="Arial" w:hAnsi="Arial" w:cs="Arial"/>
          <w:sz w:val="18"/>
          <w:szCs w:val="18"/>
        </w:rPr>
      </w:pPr>
    </w:p>
    <w:p w14:paraId="006C96C5" w14:textId="77777777" w:rsidR="00415971" w:rsidRDefault="00415971">
      <w:pPr>
        <w:jc w:val="both"/>
        <w:rPr>
          <w:rFonts w:ascii="Arial" w:eastAsia="Arial" w:hAnsi="Arial" w:cs="Arial"/>
          <w:sz w:val="16"/>
          <w:szCs w:val="16"/>
        </w:rPr>
      </w:pPr>
    </w:p>
    <w:p w14:paraId="60E0AD86" w14:textId="77777777" w:rsidR="00415971" w:rsidRDefault="008E6DD4">
      <w:pPr>
        <w:jc w:val="center"/>
        <w:rPr>
          <w:rFonts w:ascii="Arial" w:eastAsia="Arial" w:hAnsi="Arial" w:cs="Arial"/>
          <w:b/>
          <w:bCs/>
          <w:u w:val="single"/>
        </w:rPr>
      </w:pPr>
      <w:r>
        <w:rPr>
          <w:rFonts w:ascii="Arial" w:hAnsi="Arial"/>
          <w:b/>
          <w:bCs/>
          <w:u w:val="single"/>
        </w:rPr>
        <w:t>PRESS RELEASE</w:t>
      </w:r>
    </w:p>
    <w:p w14:paraId="266DE318" w14:textId="530738F2" w:rsidR="00415971" w:rsidRDefault="00C03620">
      <w:pPr>
        <w:jc w:val="center"/>
        <w:rPr>
          <w:rFonts w:ascii="Arial" w:eastAsia="Arial" w:hAnsi="Arial" w:cs="Arial"/>
          <w:b/>
          <w:bCs/>
        </w:rPr>
      </w:pPr>
      <w:r>
        <w:rPr>
          <w:rFonts w:ascii="Arial" w:hAnsi="Arial"/>
          <w:b/>
          <w:bCs/>
        </w:rPr>
        <w:t>In</w:t>
      </w:r>
      <w:r w:rsidR="008E6DD4">
        <w:rPr>
          <w:rFonts w:ascii="Arial" w:hAnsi="Arial"/>
          <w:b/>
          <w:bCs/>
        </w:rPr>
        <w:t xml:space="preserve"> 2021, Rosinter’s revenue</w:t>
      </w:r>
      <w:r w:rsidR="00F45C3D" w:rsidRPr="00836154">
        <w:rPr>
          <w:b/>
          <w:vertAlign w:val="superscript"/>
        </w:rPr>
        <w:t>[1]</w:t>
      </w:r>
      <w:r w:rsidR="008E6DD4">
        <w:rPr>
          <w:rFonts w:ascii="Arial" w:hAnsi="Arial"/>
          <w:b/>
          <w:bCs/>
        </w:rPr>
        <w:t xml:space="preserve"> </w:t>
      </w:r>
      <w:r w:rsidR="00B55294">
        <w:rPr>
          <w:rFonts w:ascii="Arial" w:hAnsi="Arial"/>
          <w:b/>
          <w:bCs/>
        </w:rPr>
        <w:t xml:space="preserve">increased </w:t>
      </w:r>
      <w:r w:rsidR="008E6DD4">
        <w:rPr>
          <w:rFonts w:ascii="Arial" w:hAnsi="Arial"/>
          <w:b/>
          <w:bCs/>
        </w:rPr>
        <w:t>by 58%, EBITDA</w:t>
      </w:r>
      <w:r w:rsidR="00F45C3D">
        <w:rPr>
          <w:b/>
          <w:vertAlign w:val="superscript"/>
        </w:rPr>
        <w:t>[2</w:t>
      </w:r>
      <w:r w:rsidR="00F45C3D" w:rsidRPr="006010AC">
        <w:rPr>
          <w:b/>
          <w:vertAlign w:val="superscript"/>
        </w:rPr>
        <w:t>]</w:t>
      </w:r>
      <w:r w:rsidR="008E6DD4">
        <w:rPr>
          <w:rFonts w:ascii="Arial" w:hAnsi="Arial"/>
          <w:b/>
          <w:bCs/>
        </w:rPr>
        <w:t xml:space="preserve"> </w:t>
      </w:r>
      <w:r w:rsidR="00683762" w:rsidRPr="00836154">
        <w:rPr>
          <w:rFonts w:ascii="Arial" w:hAnsi="Arial"/>
          <w:b/>
          <w:bCs/>
        </w:rPr>
        <w:t>increased</w:t>
      </w:r>
      <w:r w:rsidR="00683762" w:rsidRPr="00836154" w:rsidDel="00B55294">
        <w:rPr>
          <w:rFonts w:ascii="Arial" w:hAnsi="Arial"/>
          <w:b/>
          <w:bCs/>
        </w:rPr>
        <w:t xml:space="preserve"> </w:t>
      </w:r>
      <w:r w:rsidR="008E6DD4">
        <w:rPr>
          <w:rFonts w:ascii="Arial" w:hAnsi="Arial"/>
          <w:b/>
          <w:bCs/>
        </w:rPr>
        <w:t xml:space="preserve"> by 17.5% to </w:t>
      </w:r>
      <w:r>
        <w:rPr>
          <w:rFonts w:ascii="Arial" w:hAnsi="Arial"/>
          <w:b/>
          <w:bCs/>
        </w:rPr>
        <w:t xml:space="preserve">RUB </w:t>
      </w:r>
      <w:r w:rsidR="008E6DD4">
        <w:rPr>
          <w:rFonts w:ascii="Arial" w:hAnsi="Arial"/>
          <w:b/>
          <w:bCs/>
        </w:rPr>
        <w:t xml:space="preserve">2.5 billion, and net profits </w:t>
      </w:r>
      <w:r>
        <w:rPr>
          <w:rFonts w:ascii="Arial" w:hAnsi="Arial"/>
          <w:b/>
          <w:bCs/>
        </w:rPr>
        <w:t>amounted</w:t>
      </w:r>
      <w:r w:rsidR="008E6DD4">
        <w:rPr>
          <w:rFonts w:ascii="Arial" w:hAnsi="Arial"/>
          <w:b/>
          <w:bCs/>
        </w:rPr>
        <w:t xml:space="preserve"> to </w:t>
      </w:r>
      <w:r>
        <w:rPr>
          <w:rFonts w:ascii="Arial" w:hAnsi="Arial"/>
          <w:b/>
          <w:bCs/>
        </w:rPr>
        <w:t xml:space="preserve">RUB </w:t>
      </w:r>
      <w:r w:rsidR="008E6DD4">
        <w:rPr>
          <w:rFonts w:ascii="Arial" w:hAnsi="Arial"/>
          <w:b/>
          <w:bCs/>
        </w:rPr>
        <w:t xml:space="preserve">95 million. </w:t>
      </w:r>
    </w:p>
    <w:p w14:paraId="60ADE6DC" w14:textId="77777777" w:rsidR="00415971" w:rsidRDefault="00415971">
      <w:pPr>
        <w:spacing w:after="0"/>
        <w:jc w:val="both"/>
        <w:rPr>
          <w:rFonts w:ascii="Arial" w:eastAsia="Arial" w:hAnsi="Arial" w:cs="Arial"/>
          <w:b/>
          <w:bCs/>
          <w:sz w:val="12"/>
          <w:szCs w:val="12"/>
        </w:rPr>
      </w:pPr>
    </w:p>
    <w:p w14:paraId="0A7E6948" w14:textId="57207B39" w:rsidR="00415971" w:rsidRDefault="008E6DD4">
      <w:pPr>
        <w:spacing w:after="0"/>
        <w:jc w:val="both"/>
        <w:rPr>
          <w:rFonts w:ascii="Arial" w:eastAsia="Arial" w:hAnsi="Arial" w:cs="Arial"/>
          <w:sz w:val="20"/>
          <w:szCs w:val="20"/>
        </w:rPr>
      </w:pPr>
      <w:r>
        <w:rPr>
          <w:rFonts w:ascii="Arial" w:hAnsi="Arial"/>
          <w:b/>
          <w:bCs/>
          <w:sz w:val="20"/>
          <w:szCs w:val="20"/>
        </w:rPr>
        <w:t>Moscow, 2</w:t>
      </w:r>
      <w:r w:rsidR="00842234" w:rsidRPr="00842234">
        <w:rPr>
          <w:rFonts w:ascii="Arial" w:hAnsi="Arial"/>
          <w:b/>
          <w:bCs/>
          <w:sz w:val="20"/>
          <w:szCs w:val="20"/>
          <w:lang w:val="en-US"/>
        </w:rPr>
        <w:t>8</w:t>
      </w:r>
      <w:r>
        <w:rPr>
          <w:rFonts w:ascii="Arial" w:hAnsi="Arial"/>
          <w:b/>
          <w:bCs/>
          <w:sz w:val="20"/>
          <w:szCs w:val="20"/>
        </w:rPr>
        <w:t xml:space="preserve"> April 2022:</w:t>
      </w:r>
      <w:r>
        <w:rPr>
          <w:rFonts w:ascii="Arial" w:hAnsi="Arial"/>
          <w:sz w:val="20"/>
          <w:szCs w:val="20"/>
        </w:rPr>
        <w:t xml:space="preserve"> Rosinter Restaurants Holding PJSC (Rosinter, Rosinter Restaurants, the Company), one of the largest restaurants holding companies in Russia (Moscow Exchange MICEX-RTS: stock ticker ROST) announces its operating and financial performance for 2021 in accordance with the International Financial Reporting Standards. Th</w:t>
      </w:r>
      <w:r w:rsidR="00CD4A72">
        <w:rPr>
          <w:rFonts w:ascii="Arial" w:hAnsi="Arial"/>
          <w:sz w:val="20"/>
          <w:szCs w:val="20"/>
        </w:rPr>
        <w:t>ese</w:t>
      </w:r>
      <w:r>
        <w:rPr>
          <w:rFonts w:ascii="Arial" w:hAnsi="Arial"/>
          <w:sz w:val="20"/>
          <w:szCs w:val="20"/>
        </w:rPr>
        <w:t xml:space="preserve"> statements have been conf</w:t>
      </w:r>
      <w:r w:rsidR="00DE718D">
        <w:rPr>
          <w:rFonts w:ascii="Arial" w:hAnsi="Arial"/>
          <w:sz w:val="20"/>
          <w:szCs w:val="20"/>
        </w:rPr>
        <w:t xml:space="preserve">irmed by the Company's auditor </w:t>
      </w:r>
      <w:r>
        <w:rPr>
          <w:rFonts w:ascii="Arial" w:hAnsi="Arial"/>
          <w:sz w:val="20"/>
          <w:szCs w:val="20"/>
        </w:rPr>
        <w:t>and prepared in accordance with IFRS 16 "Leases".</w:t>
      </w:r>
    </w:p>
    <w:p w14:paraId="2E999D17" w14:textId="77777777" w:rsidR="00415971" w:rsidRDefault="00415971">
      <w:pPr>
        <w:spacing w:after="0"/>
        <w:jc w:val="both"/>
        <w:rPr>
          <w:rFonts w:ascii="Arial" w:eastAsia="Arial" w:hAnsi="Arial" w:cs="Arial"/>
          <w:sz w:val="12"/>
          <w:szCs w:val="12"/>
        </w:rPr>
      </w:pPr>
    </w:p>
    <w:tbl>
      <w:tblPr>
        <w:tblStyle w:val="TableNormal1"/>
        <w:tblW w:w="9923"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923"/>
      </w:tblGrid>
      <w:tr w:rsidR="00415971" w14:paraId="75B2C9C2" w14:textId="77777777" w:rsidTr="00A61FDB">
        <w:trPr>
          <w:trHeight w:val="653"/>
        </w:trPr>
        <w:tc>
          <w:tcPr>
            <w:tcW w:w="9923" w:type="dxa"/>
            <w:tcBorders>
              <w:top w:val="nil"/>
              <w:left w:val="nil"/>
              <w:bottom w:val="nil"/>
              <w:right w:val="nil"/>
            </w:tcBorders>
            <w:shd w:val="clear" w:color="auto" w:fill="FFC000"/>
            <w:tcMar>
              <w:top w:w="80" w:type="dxa"/>
              <w:left w:w="80" w:type="dxa"/>
              <w:bottom w:w="80" w:type="dxa"/>
              <w:right w:w="80" w:type="dxa"/>
            </w:tcMar>
            <w:vAlign w:val="center"/>
          </w:tcPr>
          <w:p w14:paraId="7A0A3C28" w14:textId="77777777" w:rsidR="00415971" w:rsidRDefault="008E6DD4">
            <w:pPr>
              <w:spacing w:after="0" w:line="240" w:lineRule="auto"/>
              <w:jc w:val="center"/>
            </w:pPr>
            <w:r>
              <w:rPr>
                <w:rFonts w:ascii="Arial" w:hAnsi="Arial"/>
                <w:b/>
                <w:bCs/>
                <w:sz w:val="20"/>
                <w:szCs w:val="20"/>
              </w:rPr>
              <w:t>KEY FINANCIAL AND OPERATING RESULTS</w:t>
            </w:r>
          </w:p>
        </w:tc>
      </w:tr>
    </w:tbl>
    <w:p w14:paraId="0BE84E49" w14:textId="77777777" w:rsidR="00415971" w:rsidRDefault="00415971">
      <w:pPr>
        <w:widowControl w:val="0"/>
        <w:spacing w:after="0" w:line="240" w:lineRule="auto"/>
        <w:jc w:val="both"/>
        <w:rPr>
          <w:rFonts w:ascii="Arial" w:eastAsia="Arial" w:hAnsi="Arial" w:cs="Arial"/>
          <w:sz w:val="12"/>
          <w:szCs w:val="12"/>
        </w:rPr>
      </w:pPr>
    </w:p>
    <w:p w14:paraId="6A100FA6" w14:textId="6909EA46" w:rsidR="00415971" w:rsidRPr="004F4538" w:rsidRDefault="008E6DD4" w:rsidP="003E017F">
      <w:pPr>
        <w:pStyle w:val="a6"/>
        <w:numPr>
          <w:ilvl w:val="0"/>
          <w:numId w:val="2"/>
        </w:numPr>
        <w:spacing w:line="276" w:lineRule="auto"/>
        <w:ind w:left="426"/>
        <w:rPr>
          <w:rFonts w:ascii="Arial" w:eastAsia="Arial" w:hAnsi="Arial" w:cs="Arial"/>
          <w:sz w:val="20"/>
          <w:szCs w:val="20"/>
        </w:rPr>
      </w:pPr>
      <w:bookmarkStart w:id="0" w:name="_Hlk70430748"/>
      <w:r w:rsidRPr="00836154">
        <w:rPr>
          <w:rFonts w:ascii="Arial" w:hAnsi="Arial" w:cs="Arial"/>
        </w:rPr>
        <w:t>I</w:t>
      </w:r>
      <w:bookmarkStart w:id="1" w:name="_Hlk70084072"/>
      <w:bookmarkEnd w:id="0"/>
      <w:r w:rsidRPr="00836154">
        <w:rPr>
          <w:rFonts w:ascii="Arial" w:hAnsi="Arial" w:cs="Arial"/>
          <w:sz w:val="20"/>
          <w:szCs w:val="20"/>
        </w:rPr>
        <w:t>n 2021, Rosinter’s revenue</w:t>
      </w:r>
      <w:r w:rsidRPr="00836154">
        <w:rPr>
          <w:rFonts w:ascii="Arial" w:hAnsi="Arial" w:cs="Arial"/>
          <w:vertAlign w:val="superscript"/>
        </w:rPr>
        <w:t>[1]</w:t>
      </w:r>
      <w:r w:rsidR="00F45C3D" w:rsidRPr="00836154">
        <w:rPr>
          <w:rFonts w:ascii="Arial" w:hAnsi="Arial" w:cs="Arial"/>
          <w:sz w:val="20"/>
          <w:szCs w:val="20"/>
        </w:rPr>
        <w:t xml:space="preserve"> </w:t>
      </w:r>
      <w:r w:rsidR="00B55294" w:rsidRPr="00836154">
        <w:rPr>
          <w:rFonts w:ascii="Arial" w:hAnsi="Arial" w:cs="Arial"/>
          <w:sz w:val="20"/>
          <w:szCs w:val="20"/>
        </w:rPr>
        <w:t>increased</w:t>
      </w:r>
      <w:r w:rsidR="00B55294" w:rsidRPr="00836154" w:rsidDel="00B55294">
        <w:rPr>
          <w:rFonts w:ascii="Arial" w:hAnsi="Arial" w:cs="Arial"/>
          <w:sz w:val="20"/>
          <w:szCs w:val="20"/>
        </w:rPr>
        <w:t xml:space="preserve"> </w:t>
      </w:r>
      <w:r w:rsidRPr="00836154">
        <w:rPr>
          <w:rFonts w:ascii="Arial" w:hAnsi="Arial" w:cs="Arial"/>
          <w:sz w:val="20"/>
          <w:szCs w:val="20"/>
        </w:rPr>
        <w:t xml:space="preserve">by 58% (to </w:t>
      </w:r>
      <w:r w:rsidR="00C03620" w:rsidRPr="00836154">
        <w:rPr>
          <w:rFonts w:ascii="Arial" w:hAnsi="Arial" w:cs="Arial"/>
          <w:sz w:val="20"/>
          <w:szCs w:val="20"/>
        </w:rPr>
        <w:t xml:space="preserve">RUB </w:t>
      </w:r>
      <w:r w:rsidRPr="00836154">
        <w:rPr>
          <w:rFonts w:ascii="Arial" w:hAnsi="Arial" w:cs="Arial"/>
          <w:sz w:val="20"/>
          <w:szCs w:val="20"/>
        </w:rPr>
        <w:t>6,210 million)</w:t>
      </w:r>
      <w:bookmarkEnd w:id="1"/>
      <w:r w:rsidRPr="00836154">
        <w:rPr>
          <w:rFonts w:ascii="Arial" w:hAnsi="Arial" w:cs="Arial"/>
          <w:sz w:val="20"/>
          <w:szCs w:val="20"/>
        </w:rPr>
        <w:t xml:space="preserve"> </w:t>
      </w:r>
      <w:r w:rsidR="00F45C3D" w:rsidRPr="00836154">
        <w:rPr>
          <w:rFonts w:ascii="Arial" w:hAnsi="Arial" w:cs="Arial"/>
          <w:sz w:val="20"/>
          <w:szCs w:val="20"/>
          <w:lang w:val="en-US"/>
        </w:rPr>
        <w:t>compared to</w:t>
      </w:r>
      <w:r w:rsidR="00F45C3D" w:rsidRPr="00836154">
        <w:rPr>
          <w:rFonts w:ascii="Arial" w:hAnsi="Arial" w:cs="Arial"/>
          <w:sz w:val="20"/>
          <w:szCs w:val="20"/>
        </w:rPr>
        <w:t xml:space="preserve"> </w:t>
      </w:r>
      <w:r w:rsidRPr="00836154">
        <w:rPr>
          <w:rFonts w:ascii="Arial" w:hAnsi="Arial" w:cs="Arial"/>
          <w:sz w:val="20"/>
          <w:szCs w:val="20"/>
        </w:rPr>
        <w:t xml:space="preserve">2020 gradual recovery of traffic after the lifting of the restrictions caused by COVID-19, </w:t>
      </w:r>
      <w:r w:rsidR="00B55294">
        <w:rPr>
          <w:rFonts w:ascii="Arial" w:hAnsi="Arial" w:cs="Arial"/>
          <w:sz w:val="20"/>
          <w:szCs w:val="20"/>
        </w:rPr>
        <w:t xml:space="preserve">as well as completing the action plans </w:t>
      </w:r>
      <w:r w:rsidRPr="00836154">
        <w:rPr>
          <w:rFonts w:ascii="Arial" w:hAnsi="Arial" w:cs="Arial"/>
          <w:sz w:val="20"/>
          <w:szCs w:val="20"/>
        </w:rPr>
        <w:t>aimed at increasing operational performance and the service quality and updating the menu.</w:t>
      </w:r>
    </w:p>
    <w:p w14:paraId="053537F0" w14:textId="77777777" w:rsidR="00415971" w:rsidRPr="00DE718D" w:rsidRDefault="00415971" w:rsidP="003E017F">
      <w:pPr>
        <w:pStyle w:val="a6"/>
        <w:spacing w:line="276" w:lineRule="auto"/>
        <w:ind w:left="426"/>
        <w:rPr>
          <w:rFonts w:ascii="Arial" w:eastAsia="Arial" w:hAnsi="Arial" w:cs="Arial"/>
          <w:sz w:val="20"/>
          <w:szCs w:val="20"/>
          <w:lang w:val="en-US"/>
        </w:rPr>
      </w:pPr>
    </w:p>
    <w:p w14:paraId="1E1FE02F" w14:textId="0788BBDE" w:rsidR="00415971" w:rsidRPr="003E017F" w:rsidRDefault="008E6DD4" w:rsidP="003E017F">
      <w:pPr>
        <w:pStyle w:val="a6"/>
        <w:numPr>
          <w:ilvl w:val="0"/>
          <w:numId w:val="2"/>
        </w:numPr>
        <w:spacing w:line="276" w:lineRule="auto"/>
        <w:ind w:left="426"/>
        <w:rPr>
          <w:rFonts w:ascii="Arial" w:eastAsia="Arial" w:hAnsi="Arial" w:cs="Arial"/>
          <w:sz w:val="20"/>
          <w:szCs w:val="20"/>
        </w:rPr>
      </w:pPr>
      <w:r>
        <w:rPr>
          <w:rFonts w:ascii="Arial" w:hAnsi="Arial"/>
          <w:sz w:val="20"/>
          <w:szCs w:val="20"/>
        </w:rPr>
        <w:t>EBITDA</w:t>
      </w:r>
      <w:r w:rsidR="000F209C">
        <w:rPr>
          <w:vertAlign w:val="superscript"/>
        </w:rPr>
        <w:t>[2]</w:t>
      </w:r>
      <w:r>
        <w:rPr>
          <w:rFonts w:ascii="Arial" w:hAnsi="Arial"/>
          <w:sz w:val="20"/>
          <w:szCs w:val="20"/>
        </w:rPr>
        <w:t xml:space="preserve"> </w:t>
      </w:r>
      <w:r w:rsidR="00B55294" w:rsidRPr="006010AC">
        <w:rPr>
          <w:rFonts w:ascii="Arial" w:hAnsi="Arial" w:cs="Arial"/>
          <w:sz w:val="20"/>
          <w:szCs w:val="20"/>
        </w:rPr>
        <w:t>increased</w:t>
      </w:r>
      <w:r w:rsidR="00B55294" w:rsidRPr="006010AC" w:rsidDel="00B55294">
        <w:rPr>
          <w:rFonts w:ascii="Arial" w:hAnsi="Arial" w:cs="Arial"/>
          <w:sz w:val="20"/>
          <w:szCs w:val="20"/>
        </w:rPr>
        <w:t xml:space="preserve"> </w:t>
      </w:r>
      <w:r>
        <w:rPr>
          <w:rFonts w:ascii="Arial" w:hAnsi="Arial"/>
          <w:sz w:val="20"/>
          <w:szCs w:val="20"/>
        </w:rPr>
        <w:t xml:space="preserve">by </w:t>
      </w:r>
      <w:r w:rsidR="00C03620">
        <w:rPr>
          <w:rFonts w:ascii="Arial" w:hAnsi="Arial"/>
          <w:sz w:val="20"/>
          <w:szCs w:val="20"/>
        </w:rPr>
        <w:t xml:space="preserve">RUB </w:t>
      </w:r>
      <w:r>
        <w:rPr>
          <w:rFonts w:ascii="Arial" w:hAnsi="Arial"/>
          <w:sz w:val="20"/>
          <w:szCs w:val="20"/>
        </w:rPr>
        <w:t xml:space="preserve">370 million </w:t>
      </w:r>
      <w:r w:rsidR="00C03620">
        <w:rPr>
          <w:rFonts w:ascii="Arial" w:hAnsi="Arial"/>
          <w:sz w:val="20"/>
          <w:szCs w:val="20"/>
        </w:rPr>
        <w:t xml:space="preserve">in 2021 </w:t>
      </w:r>
      <w:r w:rsidR="00F45C3D">
        <w:rPr>
          <w:rFonts w:ascii="Arial" w:hAnsi="Arial"/>
          <w:sz w:val="20"/>
          <w:szCs w:val="20"/>
          <w:lang w:val="en-US"/>
        </w:rPr>
        <w:t>compared to</w:t>
      </w:r>
      <w:r>
        <w:rPr>
          <w:rFonts w:ascii="Arial" w:hAnsi="Arial"/>
          <w:sz w:val="20"/>
          <w:szCs w:val="20"/>
        </w:rPr>
        <w:t xml:space="preserve"> 2020, and </w:t>
      </w:r>
      <w:r w:rsidR="0036444A">
        <w:rPr>
          <w:rFonts w:ascii="Arial" w:hAnsi="Arial"/>
          <w:sz w:val="20"/>
          <w:szCs w:val="20"/>
        </w:rPr>
        <w:t>amounted to</w:t>
      </w:r>
      <w:r>
        <w:rPr>
          <w:rFonts w:ascii="Arial" w:hAnsi="Arial"/>
          <w:sz w:val="20"/>
          <w:szCs w:val="20"/>
        </w:rPr>
        <w:t xml:space="preserve"> </w:t>
      </w:r>
      <w:r w:rsidR="00C03620">
        <w:rPr>
          <w:rFonts w:ascii="Arial" w:hAnsi="Arial"/>
          <w:sz w:val="20"/>
          <w:szCs w:val="20"/>
        </w:rPr>
        <w:t xml:space="preserve">RUB </w:t>
      </w:r>
      <w:r>
        <w:rPr>
          <w:rFonts w:ascii="Arial" w:hAnsi="Arial"/>
          <w:sz w:val="20"/>
          <w:szCs w:val="20"/>
        </w:rPr>
        <w:t xml:space="preserve">2,478 million. In 2021, </w:t>
      </w:r>
      <w:r w:rsidR="000F209C">
        <w:rPr>
          <w:rFonts w:ascii="Arial" w:hAnsi="Arial"/>
          <w:sz w:val="20"/>
          <w:szCs w:val="20"/>
        </w:rPr>
        <w:t xml:space="preserve">adjusted </w:t>
      </w:r>
      <w:r>
        <w:rPr>
          <w:rFonts w:ascii="Arial" w:hAnsi="Arial"/>
          <w:sz w:val="20"/>
          <w:szCs w:val="20"/>
        </w:rPr>
        <w:t>EBITDA</w:t>
      </w:r>
      <w:r w:rsidR="000F209C">
        <w:rPr>
          <w:vertAlign w:val="superscript"/>
        </w:rPr>
        <w:t>[3]</w:t>
      </w:r>
      <w:r>
        <w:rPr>
          <w:rFonts w:ascii="Arial" w:hAnsi="Arial"/>
          <w:sz w:val="20"/>
          <w:szCs w:val="20"/>
        </w:rPr>
        <w:t xml:space="preserve"> </w:t>
      </w:r>
      <w:r w:rsidR="00B55294" w:rsidRPr="006010AC">
        <w:rPr>
          <w:rFonts w:ascii="Arial" w:hAnsi="Arial" w:cs="Arial"/>
          <w:sz w:val="20"/>
          <w:szCs w:val="20"/>
        </w:rPr>
        <w:t>increased</w:t>
      </w:r>
      <w:r w:rsidR="000F209C">
        <w:rPr>
          <w:rFonts w:ascii="Arial" w:hAnsi="Arial"/>
          <w:sz w:val="20"/>
          <w:szCs w:val="20"/>
        </w:rPr>
        <w:t xml:space="preserve"> up</w:t>
      </w:r>
      <w:r>
        <w:rPr>
          <w:rFonts w:ascii="Arial" w:hAnsi="Arial"/>
          <w:sz w:val="20"/>
          <w:szCs w:val="20"/>
        </w:rPr>
        <w:t xml:space="preserve"> to</w:t>
      </w:r>
      <w:r w:rsidR="00C03620">
        <w:rPr>
          <w:rFonts w:ascii="Arial" w:hAnsi="Arial"/>
          <w:sz w:val="20"/>
          <w:szCs w:val="20"/>
        </w:rPr>
        <w:t xml:space="preserve"> RUB</w:t>
      </w:r>
      <w:r>
        <w:rPr>
          <w:rFonts w:ascii="Arial" w:hAnsi="Arial"/>
          <w:sz w:val="20"/>
          <w:szCs w:val="20"/>
        </w:rPr>
        <w:t xml:space="preserve"> 661 million as compared to </w:t>
      </w:r>
      <w:r w:rsidR="00C03620">
        <w:rPr>
          <w:rFonts w:ascii="Arial" w:hAnsi="Arial"/>
          <w:sz w:val="20"/>
          <w:szCs w:val="20"/>
        </w:rPr>
        <w:t xml:space="preserve">RUB </w:t>
      </w:r>
      <w:r>
        <w:rPr>
          <w:rFonts w:ascii="Arial" w:hAnsi="Arial"/>
          <w:sz w:val="20"/>
          <w:szCs w:val="20"/>
        </w:rPr>
        <w:t xml:space="preserve">0.3 million in 2020 and </w:t>
      </w:r>
      <w:r w:rsidR="00C03620">
        <w:rPr>
          <w:rFonts w:ascii="Arial" w:hAnsi="Arial"/>
          <w:sz w:val="20"/>
          <w:szCs w:val="20"/>
        </w:rPr>
        <w:t xml:space="preserve">      RUB </w:t>
      </w:r>
      <w:r>
        <w:rPr>
          <w:rFonts w:ascii="Arial" w:hAnsi="Arial"/>
          <w:sz w:val="20"/>
          <w:szCs w:val="20"/>
        </w:rPr>
        <w:t>480 million in pre-pandemic 2019 (</w:t>
      </w:r>
      <w:r w:rsidR="00104D24">
        <w:rPr>
          <w:rFonts w:ascii="Arial" w:hAnsi="Arial"/>
          <w:sz w:val="20"/>
          <w:szCs w:val="20"/>
        </w:rPr>
        <w:t>increase</w:t>
      </w:r>
      <w:r w:rsidR="00104D24" w:rsidDel="000F209C">
        <w:rPr>
          <w:rFonts w:ascii="Arial" w:hAnsi="Arial"/>
          <w:sz w:val="20"/>
          <w:szCs w:val="20"/>
        </w:rPr>
        <w:t xml:space="preserve"> </w:t>
      </w:r>
      <w:r w:rsidR="00104D24">
        <w:rPr>
          <w:rFonts w:ascii="Arial" w:hAnsi="Arial"/>
          <w:sz w:val="20"/>
          <w:szCs w:val="20"/>
        </w:rPr>
        <w:t xml:space="preserve">by </w:t>
      </w:r>
      <w:r w:rsidR="000F209C">
        <w:rPr>
          <w:rFonts w:ascii="Arial" w:hAnsi="Arial"/>
          <w:sz w:val="20"/>
          <w:szCs w:val="20"/>
        </w:rPr>
        <w:t>3</w:t>
      </w:r>
      <w:r>
        <w:rPr>
          <w:rFonts w:ascii="Arial" w:hAnsi="Arial"/>
          <w:sz w:val="20"/>
          <w:szCs w:val="20"/>
        </w:rPr>
        <w:t xml:space="preserve">7.6%). </w:t>
      </w:r>
    </w:p>
    <w:p w14:paraId="30EBDCCB" w14:textId="77777777" w:rsidR="003E017F" w:rsidRPr="00DE718D" w:rsidRDefault="003E017F" w:rsidP="003E017F">
      <w:pPr>
        <w:pStyle w:val="a6"/>
        <w:rPr>
          <w:rFonts w:ascii="Arial" w:eastAsia="Arial" w:hAnsi="Arial" w:cs="Arial"/>
          <w:sz w:val="20"/>
          <w:szCs w:val="20"/>
          <w:lang w:val="en-US"/>
        </w:rPr>
      </w:pPr>
    </w:p>
    <w:p w14:paraId="47E82285" w14:textId="55901EEE" w:rsidR="00415971" w:rsidRDefault="008E6DD4" w:rsidP="003E017F">
      <w:pPr>
        <w:pStyle w:val="a6"/>
        <w:numPr>
          <w:ilvl w:val="0"/>
          <w:numId w:val="2"/>
        </w:numPr>
        <w:spacing w:line="276" w:lineRule="auto"/>
        <w:ind w:left="426"/>
        <w:rPr>
          <w:rFonts w:ascii="Arial" w:hAnsi="Arial"/>
          <w:sz w:val="20"/>
          <w:szCs w:val="20"/>
        </w:rPr>
      </w:pPr>
      <w:r>
        <w:rPr>
          <w:rFonts w:ascii="Arial" w:hAnsi="Arial"/>
          <w:sz w:val="20"/>
          <w:szCs w:val="20"/>
        </w:rPr>
        <w:t xml:space="preserve">The Company’s net profits for 2021 amounted to </w:t>
      </w:r>
      <w:r w:rsidR="00C03620">
        <w:rPr>
          <w:rFonts w:ascii="Arial" w:hAnsi="Arial"/>
          <w:sz w:val="20"/>
          <w:szCs w:val="20"/>
        </w:rPr>
        <w:t xml:space="preserve">RUB </w:t>
      </w:r>
      <w:r>
        <w:rPr>
          <w:rFonts w:ascii="Arial" w:hAnsi="Arial"/>
          <w:sz w:val="20"/>
          <w:szCs w:val="20"/>
        </w:rPr>
        <w:t xml:space="preserve">95 </w:t>
      </w:r>
      <w:r w:rsidR="004F4538">
        <w:rPr>
          <w:rFonts w:ascii="Arial" w:hAnsi="Arial"/>
          <w:sz w:val="20"/>
          <w:szCs w:val="20"/>
        </w:rPr>
        <w:t xml:space="preserve">(amounted to RUB 18 million </w:t>
      </w:r>
      <w:r>
        <w:rPr>
          <w:rFonts w:ascii="Arial" w:hAnsi="Arial"/>
          <w:sz w:val="20"/>
          <w:szCs w:val="20"/>
        </w:rPr>
        <w:t>adjusted to IAS 17</w:t>
      </w:r>
      <w:r w:rsidR="004F4538">
        <w:rPr>
          <w:rFonts w:ascii="Arial" w:hAnsi="Arial"/>
          <w:sz w:val="20"/>
          <w:szCs w:val="20"/>
        </w:rPr>
        <w:t>)</w:t>
      </w:r>
      <w:r>
        <w:rPr>
          <w:rFonts w:ascii="Arial" w:hAnsi="Arial"/>
          <w:sz w:val="20"/>
          <w:szCs w:val="20"/>
        </w:rPr>
        <w:t>.</w:t>
      </w:r>
      <w:r w:rsidR="00C03620">
        <w:rPr>
          <w:rFonts w:ascii="Arial" w:hAnsi="Arial"/>
          <w:sz w:val="20"/>
          <w:szCs w:val="20"/>
        </w:rPr>
        <w:t xml:space="preserve"> </w:t>
      </w:r>
      <w:r w:rsidR="004F4538">
        <w:rPr>
          <w:rFonts w:ascii="Arial" w:hAnsi="Arial"/>
          <w:sz w:val="20"/>
          <w:szCs w:val="20"/>
        </w:rPr>
        <w:t>T</w:t>
      </w:r>
      <w:r>
        <w:rPr>
          <w:rFonts w:ascii="Arial" w:hAnsi="Arial"/>
          <w:sz w:val="20"/>
          <w:szCs w:val="20"/>
        </w:rPr>
        <w:t>he Company suffered a net loss of over</w:t>
      </w:r>
      <w:r w:rsidR="00C03620">
        <w:rPr>
          <w:rFonts w:ascii="Arial" w:hAnsi="Arial"/>
          <w:sz w:val="20"/>
          <w:szCs w:val="20"/>
        </w:rPr>
        <w:t xml:space="preserve"> RUB</w:t>
      </w:r>
      <w:r>
        <w:rPr>
          <w:rFonts w:ascii="Arial" w:hAnsi="Arial"/>
          <w:sz w:val="20"/>
          <w:szCs w:val="20"/>
        </w:rPr>
        <w:t xml:space="preserve"> 450 million</w:t>
      </w:r>
      <w:r w:rsidR="004F4538" w:rsidRPr="004F4538">
        <w:rPr>
          <w:rFonts w:ascii="Arial" w:hAnsi="Arial"/>
          <w:sz w:val="20"/>
          <w:szCs w:val="20"/>
        </w:rPr>
        <w:t xml:space="preserve"> </w:t>
      </w:r>
      <w:r w:rsidR="004F4538">
        <w:rPr>
          <w:rFonts w:ascii="Arial" w:hAnsi="Arial"/>
          <w:sz w:val="20"/>
          <w:szCs w:val="20"/>
        </w:rPr>
        <w:t>in pre-pandemic 2019</w:t>
      </w:r>
      <w:r>
        <w:rPr>
          <w:rFonts w:ascii="Arial" w:hAnsi="Arial"/>
          <w:sz w:val="20"/>
          <w:szCs w:val="20"/>
        </w:rPr>
        <w:t xml:space="preserve">. </w:t>
      </w:r>
    </w:p>
    <w:p w14:paraId="2F81320B" w14:textId="77777777" w:rsidR="00415971" w:rsidRPr="00DE718D" w:rsidRDefault="00415971">
      <w:pPr>
        <w:pStyle w:val="a6"/>
        <w:rPr>
          <w:rFonts w:ascii="Arial" w:eastAsia="Arial" w:hAnsi="Arial" w:cs="Arial"/>
          <w:sz w:val="20"/>
          <w:szCs w:val="20"/>
          <w:lang w:val="en-US"/>
        </w:rPr>
      </w:pPr>
    </w:p>
    <w:p w14:paraId="0A698ECA" w14:textId="01AB4577" w:rsidR="00415971" w:rsidRDefault="004F4538">
      <w:pPr>
        <w:pStyle w:val="a6"/>
        <w:numPr>
          <w:ilvl w:val="0"/>
          <w:numId w:val="2"/>
        </w:numPr>
        <w:spacing w:line="276" w:lineRule="auto"/>
        <w:rPr>
          <w:rFonts w:ascii="Arial" w:hAnsi="Arial"/>
          <w:sz w:val="20"/>
          <w:szCs w:val="20"/>
        </w:rPr>
      </w:pPr>
      <w:r>
        <w:rPr>
          <w:rFonts w:ascii="Arial" w:hAnsi="Arial"/>
          <w:sz w:val="20"/>
          <w:szCs w:val="20"/>
        </w:rPr>
        <w:t xml:space="preserve">In 2021, </w:t>
      </w:r>
      <w:r w:rsidR="008E6DD4">
        <w:rPr>
          <w:rFonts w:ascii="Arial" w:hAnsi="Arial"/>
          <w:sz w:val="20"/>
          <w:szCs w:val="20"/>
        </w:rPr>
        <w:t xml:space="preserve">Rosinter improved the restaurant EBITDA margin by </w:t>
      </w:r>
      <w:r w:rsidR="00B27E5A">
        <w:rPr>
          <w:rFonts w:ascii="Arial" w:hAnsi="Arial"/>
          <w:sz w:val="20"/>
          <w:szCs w:val="20"/>
        </w:rPr>
        <w:t xml:space="preserve">7 </w:t>
      </w:r>
      <w:r w:rsidR="008E6DD4">
        <w:rPr>
          <w:rFonts w:ascii="Arial" w:hAnsi="Arial"/>
          <w:sz w:val="20"/>
          <w:szCs w:val="20"/>
        </w:rPr>
        <w:t>p</w:t>
      </w:r>
      <w:r w:rsidR="00B27E5A">
        <w:rPr>
          <w:rFonts w:ascii="Arial" w:hAnsi="Arial"/>
          <w:sz w:val="20"/>
          <w:szCs w:val="20"/>
        </w:rPr>
        <w:t xml:space="preserve">ercentage </w:t>
      </w:r>
      <w:r w:rsidR="008E6DD4">
        <w:rPr>
          <w:rFonts w:ascii="Arial" w:hAnsi="Arial"/>
          <w:sz w:val="20"/>
          <w:szCs w:val="20"/>
        </w:rPr>
        <w:t>p</w:t>
      </w:r>
      <w:r w:rsidR="00B27E5A">
        <w:rPr>
          <w:rFonts w:ascii="Arial" w:hAnsi="Arial"/>
          <w:sz w:val="20"/>
          <w:szCs w:val="20"/>
        </w:rPr>
        <w:t>oints</w:t>
      </w:r>
      <w:r w:rsidR="008E6DD4">
        <w:rPr>
          <w:rFonts w:ascii="Arial" w:hAnsi="Arial"/>
          <w:sz w:val="20"/>
          <w:szCs w:val="20"/>
        </w:rPr>
        <w:t xml:space="preserve"> </w:t>
      </w:r>
      <w:r>
        <w:rPr>
          <w:rFonts w:ascii="Arial" w:hAnsi="Arial"/>
          <w:sz w:val="20"/>
          <w:szCs w:val="20"/>
        </w:rPr>
        <w:t>from 11.2% to 18.3%</w:t>
      </w:r>
      <w:r w:rsidRPr="004F4538">
        <w:rPr>
          <w:rFonts w:ascii="Arial" w:hAnsi="Arial"/>
          <w:sz w:val="20"/>
          <w:szCs w:val="20"/>
        </w:rPr>
        <w:t xml:space="preserve"> </w:t>
      </w:r>
      <w:r w:rsidR="00B27E5A">
        <w:rPr>
          <w:rFonts w:ascii="Arial" w:hAnsi="Arial"/>
          <w:sz w:val="20"/>
          <w:szCs w:val="20"/>
        </w:rPr>
        <w:t>(</w:t>
      </w:r>
      <w:r w:rsidR="00B27E5A">
        <w:rPr>
          <w:rFonts w:ascii="Arial" w:hAnsi="Arial"/>
          <w:sz w:val="20"/>
          <w:szCs w:val="20"/>
          <w:lang w:val="en-US"/>
        </w:rPr>
        <w:t>compared to</w:t>
      </w:r>
      <w:r w:rsidR="00B27E5A" w:rsidDel="00F45C3D">
        <w:rPr>
          <w:rFonts w:ascii="Arial" w:hAnsi="Arial"/>
          <w:sz w:val="20"/>
          <w:szCs w:val="20"/>
        </w:rPr>
        <w:t xml:space="preserve"> </w:t>
      </w:r>
      <w:r w:rsidR="00B27E5A">
        <w:rPr>
          <w:rFonts w:ascii="Arial" w:hAnsi="Arial"/>
          <w:sz w:val="20"/>
          <w:szCs w:val="20"/>
        </w:rPr>
        <w:t xml:space="preserve">2019) </w:t>
      </w:r>
      <w:r>
        <w:rPr>
          <w:rFonts w:ascii="Arial" w:hAnsi="Arial"/>
          <w:sz w:val="20"/>
          <w:szCs w:val="20"/>
        </w:rPr>
        <w:t>due</w:t>
      </w:r>
      <w:r w:rsidR="008E6DD4">
        <w:rPr>
          <w:rFonts w:ascii="Arial" w:hAnsi="Arial"/>
          <w:sz w:val="20"/>
          <w:szCs w:val="20"/>
        </w:rPr>
        <w:t xml:space="preserve"> to the brand reinforcement and cost optimization.</w:t>
      </w:r>
    </w:p>
    <w:p w14:paraId="0E97971B" w14:textId="77777777" w:rsidR="00415971" w:rsidRPr="00836154" w:rsidRDefault="00415971">
      <w:pPr>
        <w:pStyle w:val="a6"/>
        <w:spacing w:line="276" w:lineRule="auto"/>
        <w:ind w:left="0"/>
        <w:rPr>
          <w:rFonts w:ascii="Arial" w:eastAsia="Arial" w:hAnsi="Arial" w:cs="Arial"/>
          <w:sz w:val="20"/>
          <w:szCs w:val="20"/>
        </w:rPr>
      </w:pPr>
    </w:p>
    <w:p w14:paraId="688C915E" w14:textId="77777777" w:rsidR="00415971" w:rsidRDefault="008E6DD4">
      <w:pPr>
        <w:spacing w:after="0" w:line="240" w:lineRule="auto"/>
        <w:rPr>
          <w:rFonts w:ascii="Arial" w:eastAsia="Arial" w:hAnsi="Arial" w:cs="Arial"/>
          <w:b/>
          <w:bCs/>
          <w:sz w:val="20"/>
          <w:szCs w:val="20"/>
        </w:rPr>
      </w:pPr>
      <w:r>
        <w:rPr>
          <w:rFonts w:ascii="Arial" w:hAnsi="Arial"/>
          <w:b/>
          <w:bCs/>
          <w:sz w:val="20"/>
          <w:szCs w:val="20"/>
        </w:rPr>
        <w:t>Margarita Kosteyeva, President of Rosinter Restaurants Holding PJSC, says:</w:t>
      </w:r>
    </w:p>
    <w:p w14:paraId="73B1A394" w14:textId="77777777" w:rsidR="00415971" w:rsidRDefault="00415971">
      <w:pPr>
        <w:spacing w:after="0" w:line="240" w:lineRule="auto"/>
        <w:rPr>
          <w:rFonts w:ascii="Arial" w:eastAsia="Arial" w:hAnsi="Arial" w:cs="Arial"/>
          <w:b/>
          <w:bCs/>
          <w:sz w:val="20"/>
          <w:szCs w:val="20"/>
        </w:rPr>
      </w:pPr>
    </w:p>
    <w:p w14:paraId="00DD5C35" w14:textId="734416F3" w:rsidR="00415971" w:rsidRDefault="008E6DD4">
      <w:pPr>
        <w:shd w:val="clear" w:color="auto" w:fill="FFFFFF"/>
        <w:jc w:val="both"/>
        <w:rPr>
          <w:rFonts w:ascii="Arial" w:eastAsia="Arial" w:hAnsi="Arial" w:cs="Arial"/>
          <w:sz w:val="20"/>
          <w:szCs w:val="20"/>
        </w:rPr>
      </w:pPr>
      <w:r>
        <w:rPr>
          <w:rFonts w:ascii="Arial" w:hAnsi="Arial"/>
          <w:sz w:val="20"/>
          <w:szCs w:val="20"/>
        </w:rPr>
        <w:t>“</w:t>
      </w:r>
      <w:r w:rsidR="001A4D7A">
        <w:rPr>
          <w:rFonts w:ascii="Arial" w:hAnsi="Arial"/>
          <w:sz w:val="20"/>
          <w:szCs w:val="20"/>
        </w:rPr>
        <w:t>T</w:t>
      </w:r>
      <w:r>
        <w:rPr>
          <w:rFonts w:ascii="Arial" w:hAnsi="Arial"/>
          <w:sz w:val="20"/>
          <w:szCs w:val="20"/>
        </w:rPr>
        <w:t>he public catering industry was affected by the negative factors caused by COVID-19</w:t>
      </w:r>
      <w:r w:rsidR="001A4D7A">
        <w:rPr>
          <w:rFonts w:ascii="Arial" w:hAnsi="Arial"/>
          <w:sz w:val="20"/>
          <w:szCs w:val="20"/>
        </w:rPr>
        <w:t xml:space="preserve"> in 2021</w:t>
      </w:r>
      <w:r>
        <w:rPr>
          <w:rFonts w:ascii="Arial" w:hAnsi="Arial"/>
          <w:sz w:val="20"/>
          <w:szCs w:val="20"/>
        </w:rPr>
        <w:t xml:space="preserve">. </w:t>
      </w:r>
      <w:r w:rsidR="001A4D7A">
        <w:rPr>
          <w:rFonts w:ascii="Arial" w:hAnsi="Arial"/>
          <w:sz w:val="20"/>
          <w:szCs w:val="20"/>
        </w:rPr>
        <w:t xml:space="preserve">The restoration </w:t>
      </w:r>
      <w:r>
        <w:rPr>
          <w:rFonts w:ascii="Arial" w:hAnsi="Arial"/>
          <w:sz w:val="20"/>
          <w:szCs w:val="20"/>
        </w:rPr>
        <w:t xml:space="preserve">of the guest traffic was </w:t>
      </w:r>
      <w:r w:rsidR="001A4D7A">
        <w:rPr>
          <w:rFonts w:ascii="Arial" w:hAnsi="Arial"/>
          <w:sz w:val="20"/>
          <w:szCs w:val="20"/>
        </w:rPr>
        <w:t>hindered by the</w:t>
      </w:r>
      <w:r>
        <w:rPr>
          <w:rFonts w:ascii="Arial" w:hAnsi="Arial"/>
          <w:sz w:val="20"/>
          <w:szCs w:val="20"/>
        </w:rPr>
        <w:t xml:space="preserve"> restrictions such as the introduction of QR codes, new waves of the pandemic, a serious personnel crisis, and others. The situation was aggravated also by the macroeconomic factors, specifically, limited purchasing power, rising food prices, reduction of tourism and passenger traffic. </w:t>
      </w:r>
    </w:p>
    <w:p w14:paraId="4726FF0C" w14:textId="03BE39F2" w:rsidR="00415971" w:rsidRDefault="008E6DD4">
      <w:pPr>
        <w:shd w:val="clear" w:color="auto" w:fill="FFFFFF"/>
        <w:jc w:val="both"/>
        <w:rPr>
          <w:rFonts w:ascii="Arial" w:eastAsia="Arial" w:hAnsi="Arial" w:cs="Arial"/>
          <w:sz w:val="20"/>
          <w:szCs w:val="20"/>
        </w:rPr>
      </w:pPr>
      <w:r>
        <w:rPr>
          <w:rFonts w:ascii="Arial" w:hAnsi="Arial"/>
          <w:sz w:val="20"/>
          <w:szCs w:val="20"/>
        </w:rPr>
        <w:t xml:space="preserve">According to </w:t>
      </w:r>
      <w:r w:rsidR="009D5C86">
        <w:rPr>
          <w:rFonts w:ascii="Arial" w:hAnsi="Arial"/>
          <w:sz w:val="20"/>
          <w:szCs w:val="20"/>
          <w:lang w:val="en-US"/>
        </w:rPr>
        <w:t>analysts</w:t>
      </w:r>
      <w:r>
        <w:rPr>
          <w:rFonts w:ascii="Arial" w:hAnsi="Arial"/>
          <w:sz w:val="20"/>
          <w:szCs w:val="20"/>
        </w:rPr>
        <w:t xml:space="preserve">, in 2021 the Russian public catering market </w:t>
      </w:r>
      <w:r w:rsidR="00B55294" w:rsidRPr="006010AC">
        <w:rPr>
          <w:rFonts w:ascii="Arial" w:hAnsi="Arial" w:cs="Arial"/>
          <w:sz w:val="20"/>
          <w:szCs w:val="20"/>
        </w:rPr>
        <w:t>increased</w:t>
      </w:r>
      <w:r w:rsidR="00B55294" w:rsidRPr="006010AC" w:rsidDel="00B55294">
        <w:rPr>
          <w:rFonts w:ascii="Arial" w:hAnsi="Arial" w:cs="Arial"/>
          <w:sz w:val="20"/>
          <w:szCs w:val="20"/>
        </w:rPr>
        <w:t xml:space="preserve"> </w:t>
      </w:r>
      <w:r>
        <w:rPr>
          <w:rFonts w:ascii="Arial" w:hAnsi="Arial"/>
          <w:sz w:val="20"/>
          <w:szCs w:val="20"/>
        </w:rPr>
        <w:t xml:space="preserve">by 30% </w:t>
      </w:r>
      <w:r w:rsidR="001A4D7A">
        <w:rPr>
          <w:rFonts w:ascii="Arial" w:hAnsi="Arial"/>
          <w:sz w:val="20"/>
          <w:szCs w:val="20"/>
        </w:rPr>
        <w:t xml:space="preserve">compared to </w:t>
      </w:r>
      <w:r>
        <w:rPr>
          <w:rFonts w:ascii="Arial" w:hAnsi="Arial"/>
          <w:sz w:val="20"/>
          <w:szCs w:val="20"/>
        </w:rPr>
        <w:t xml:space="preserve">2020, yet remaining 20% lower than in 2019. The fastest recovery was observed in the socially inclusive formats - fast food chains, coffee shops, and delivery services. </w:t>
      </w:r>
      <w:r w:rsidR="001A4D7A">
        <w:rPr>
          <w:rFonts w:ascii="Arial" w:hAnsi="Arial"/>
          <w:sz w:val="20"/>
          <w:szCs w:val="20"/>
        </w:rPr>
        <w:t xml:space="preserve">The restaurant segment and the segment of public catering in transportation hubs </w:t>
      </w:r>
      <w:r>
        <w:rPr>
          <w:rFonts w:ascii="Arial" w:hAnsi="Arial"/>
          <w:sz w:val="20"/>
          <w:szCs w:val="20"/>
        </w:rPr>
        <w:t>were</w:t>
      </w:r>
      <w:r w:rsidR="001A4D7A" w:rsidRPr="001A4D7A">
        <w:rPr>
          <w:rFonts w:ascii="Arial" w:hAnsi="Arial"/>
          <w:sz w:val="20"/>
          <w:szCs w:val="20"/>
        </w:rPr>
        <w:t xml:space="preserve"> </w:t>
      </w:r>
      <w:r w:rsidR="001A4D7A">
        <w:rPr>
          <w:rFonts w:ascii="Arial" w:hAnsi="Arial"/>
          <w:sz w:val="20"/>
          <w:szCs w:val="20"/>
        </w:rPr>
        <w:t>the most affected</w:t>
      </w:r>
      <w:r>
        <w:rPr>
          <w:rFonts w:ascii="Arial" w:hAnsi="Arial"/>
          <w:sz w:val="20"/>
          <w:szCs w:val="20"/>
        </w:rPr>
        <w:t>. According to analyst estimates, in 2020 the segments fell by 49% and 53%, respectively.</w:t>
      </w:r>
    </w:p>
    <w:p w14:paraId="3E134621" w14:textId="2E65EF78" w:rsidR="00415971" w:rsidRDefault="008E6DD4">
      <w:pPr>
        <w:shd w:val="clear" w:color="auto" w:fill="FFFFFF"/>
        <w:jc w:val="both"/>
        <w:rPr>
          <w:rFonts w:ascii="Arial" w:eastAsia="Arial" w:hAnsi="Arial" w:cs="Arial"/>
          <w:sz w:val="20"/>
          <w:szCs w:val="20"/>
        </w:rPr>
      </w:pPr>
      <w:r>
        <w:rPr>
          <w:rFonts w:ascii="Arial" w:hAnsi="Arial"/>
          <w:sz w:val="20"/>
          <w:szCs w:val="20"/>
        </w:rPr>
        <w:t>Yet, even at those times so difficult for the industry, the Company not only significantly improved the key business indicators both in terms of revenues and profitability, but also intensified efforts in promoting its brands by launching its own initiatives.</w:t>
      </w:r>
    </w:p>
    <w:p w14:paraId="04762BF8" w14:textId="0E6BF7F8" w:rsidR="00415971" w:rsidRDefault="003E57D4">
      <w:pPr>
        <w:shd w:val="clear" w:color="auto" w:fill="FFFFFF"/>
        <w:jc w:val="both"/>
        <w:rPr>
          <w:rFonts w:ascii="Arial" w:eastAsia="Arial" w:hAnsi="Arial" w:cs="Arial"/>
          <w:sz w:val="20"/>
          <w:szCs w:val="20"/>
        </w:rPr>
      </w:pPr>
      <w:r>
        <w:rPr>
          <w:rFonts w:ascii="Arial" w:hAnsi="Arial"/>
          <w:sz w:val="20"/>
          <w:szCs w:val="20"/>
        </w:rPr>
        <w:t>In</w:t>
      </w:r>
      <w:r w:rsidR="008E6DD4">
        <w:rPr>
          <w:rFonts w:ascii="Arial" w:hAnsi="Arial"/>
          <w:sz w:val="20"/>
          <w:szCs w:val="20"/>
        </w:rPr>
        <w:t xml:space="preserve"> 2021</w:t>
      </w:r>
      <w:r>
        <w:rPr>
          <w:rFonts w:ascii="Arial" w:hAnsi="Arial"/>
          <w:sz w:val="20"/>
          <w:szCs w:val="20"/>
        </w:rPr>
        <w:t>,</w:t>
      </w:r>
      <w:r w:rsidR="008E6DD4">
        <w:rPr>
          <w:rFonts w:ascii="Arial" w:hAnsi="Arial"/>
          <w:sz w:val="20"/>
          <w:szCs w:val="20"/>
        </w:rPr>
        <w:t xml:space="preserve"> Rosinter Restaurants was managing a portfolio comprising 222 restaurants, including 128 corporate restaurants (own brands such as IL Patio, Shikari, Sushi Planet, Mama Russia, American Bar &amp; Grill, and others, and licensed brands such as TGI FRIDAYS, Costa Coffee, McDonald’s). Around 60 of them are in transportation hubs. The Company’s franchise network covered 94 restaurants in Russia and abroad. </w:t>
      </w:r>
    </w:p>
    <w:p w14:paraId="4481839D" w14:textId="5F148CBB" w:rsidR="00415971" w:rsidRDefault="008E6DD4">
      <w:pPr>
        <w:shd w:val="clear" w:color="auto" w:fill="FFFFFF"/>
        <w:jc w:val="both"/>
        <w:rPr>
          <w:rFonts w:ascii="Arial" w:eastAsia="Arial" w:hAnsi="Arial" w:cs="Arial"/>
          <w:sz w:val="20"/>
          <w:szCs w:val="20"/>
        </w:rPr>
      </w:pPr>
      <w:r>
        <w:rPr>
          <w:rFonts w:ascii="Arial" w:hAnsi="Arial"/>
          <w:sz w:val="20"/>
          <w:szCs w:val="20"/>
        </w:rPr>
        <w:lastRenderedPageBreak/>
        <w:t xml:space="preserve">In 2021, Rosinter </w:t>
      </w:r>
      <w:r w:rsidR="0032021C">
        <w:rPr>
          <w:rFonts w:ascii="Arial" w:hAnsi="Arial"/>
          <w:sz w:val="20"/>
          <w:szCs w:val="20"/>
        </w:rPr>
        <w:t xml:space="preserve">significantly </w:t>
      </w:r>
      <w:r>
        <w:rPr>
          <w:rFonts w:ascii="Arial" w:hAnsi="Arial"/>
          <w:sz w:val="20"/>
          <w:szCs w:val="20"/>
        </w:rPr>
        <w:t>updated the concepts of the key restaurant brands:</w:t>
      </w:r>
    </w:p>
    <w:p w14:paraId="37A2F28E" w14:textId="199720F4" w:rsidR="00415971" w:rsidRDefault="008E6DD4">
      <w:pPr>
        <w:pStyle w:val="a6"/>
        <w:numPr>
          <w:ilvl w:val="0"/>
          <w:numId w:val="4"/>
        </w:numPr>
        <w:shd w:val="clear" w:color="auto" w:fill="FFFFFF"/>
        <w:spacing w:line="276" w:lineRule="auto"/>
        <w:rPr>
          <w:rFonts w:ascii="Arial" w:hAnsi="Arial"/>
          <w:sz w:val="20"/>
          <w:szCs w:val="20"/>
        </w:rPr>
      </w:pPr>
      <w:r>
        <w:rPr>
          <w:rFonts w:ascii="Arial" w:hAnsi="Arial"/>
          <w:sz w:val="20"/>
          <w:szCs w:val="20"/>
        </w:rPr>
        <w:t xml:space="preserve">IL Patio’s creative team fully </w:t>
      </w:r>
      <w:r w:rsidR="0032021C">
        <w:rPr>
          <w:rFonts w:ascii="Arial" w:hAnsi="Arial"/>
          <w:sz w:val="20"/>
          <w:szCs w:val="20"/>
          <w:lang w:val="en-US"/>
        </w:rPr>
        <w:t>revised</w:t>
      </w:r>
      <w:r w:rsidR="0032021C">
        <w:rPr>
          <w:rFonts w:ascii="Arial" w:hAnsi="Arial"/>
          <w:sz w:val="20"/>
          <w:szCs w:val="20"/>
        </w:rPr>
        <w:t xml:space="preserve"> </w:t>
      </w:r>
      <w:r>
        <w:rPr>
          <w:rFonts w:ascii="Arial" w:hAnsi="Arial"/>
          <w:sz w:val="20"/>
          <w:szCs w:val="20"/>
        </w:rPr>
        <w:t xml:space="preserve">the brand’s identity </w:t>
      </w:r>
      <w:r w:rsidR="0032021C">
        <w:rPr>
          <w:rFonts w:ascii="Arial" w:hAnsi="Arial"/>
          <w:sz w:val="20"/>
          <w:szCs w:val="20"/>
        </w:rPr>
        <w:t>in accordance</w:t>
      </w:r>
      <w:r>
        <w:rPr>
          <w:rFonts w:ascii="Arial" w:hAnsi="Arial"/>
          <w:sz w:val="20"/>
          <w:szCs w:val="20"/>
        </w:rPr>
        <w:t xml:space="preserve"> with the highest global standards. To satisfy young customers, </w:t>
      </w:r>
      <w:r w:rsidR="0032021C">
        <w:rPr>
          <w:rFonts w:ascii="Arial" w:hAnsi="Arial"/>
          <w:sz w:val="20"/>
          <w:szCs w:val="20"/>
        </w:rPr>
        <w:t xml:space="preserve">the menu was </w:t>
      </w:r>
      <w:r>
        <w:rPr>
          <w:rFonts w:ascii="Arial" w:hAnsi="Arial"/>
          <w:sz w:val="20"/>
          <w:szCs w:val="20"/>
        </w:rPr>
        <w:t xml:space="preserve">re-conceived and upgraded in trend with today’s Italian and global gastronomy. The logo and the interior design changed, too. Brightly-coloured and bustling Italian dining rooms were changed into a laconic modern </w:t>
      </w:r>
      <w:r w:rsidR="0032021C">
        <w:rPr>
          <w:rFonts w:ascii="Arial" w:hAnsi="Arial"/>
          <w:sz w:val="20"/>
          <w:szCs w:val="20"/>
        </w:rPr>
        <w:t xml:space="preserve">interior </w:t>
      </w:r>
      <w:r>
        <w:rPr>
          <w:rFonts w:ascii="Arial" w:hAnsi="Arial"/>
          <w:sz w:val="20"/>
          <w:szCs w:val="20"/>
        </w:rPr>
        <w:t>appealing to different guest categories. The active efforts of the brand’s team boosted EBITDA 1.3 times in city restaurants.</w:t>
      </w:r>
    </w:p>
    <w:p w14:paraId="0140073C" w14:textId="77777777" w:rsidR="00415971" w:rsidRPr="00DE718D" w:rsidRDefault="00415971">
      <w:pPr>
        <w:pStyle w:val="a6"/>
        <w:shd w:val="clear" w:color="auto" w:fill="FFFFFF"/>
        <w:spacing w:line="276" w:lineRule="auto"/>
        <w:ind w:left="294"/>
        <w:rPr>
          <w:rFonts w:ascii="Arial" w:eastAsia="Arial" w:hAnsi="Arial" w:cs="Arial"/>
          <w:sz w:val="20"/>
          <w:szCs w:val="20"/>
          <w:lang w:val="en-US"/>
        </w:rPr>
      </w:pPr>
    </w:p>
    <w:p w14:paraId="10622D84" w14:textId="6C02E652" w:rsidR="00415971" w:rsidRDefault="008E6DD4">
      <w:pPr>
        <w:pStyle w:val="a6"/>
        <w:numPr>
          <w:ilvl w:val="0"/>
          <w:numId w:val="4"/>
        </w:numPr>
        <w:shd w:val="clear" w:color="auto" w:fill="FFFFFF"/>
        <w:spacing w:line="276" w:lineRule="auto"/>
        <w:rPr>
          <w:rFonts w:ascii="Arial" w:hAnsi="Arial"/>
          <w:sz w:val="20"/>
          <w:szCs w:val="20"/>
        </w:rPr>
      </w:pPr>
      <w:r>
        <w:rPr>
          <w:rFonts w:ascii="Arial" w:hAnsi="Arial"/>
          <w:sz w:val="20"/>
          <w:szCs w:val="20"/>
        </w:rPr>
        <w:t xml:space="preserve">TGI FRIDAYS hit a record high in EBITDA growth and in the increase of restaurant revenues. As compared to 2019, in 2021 EBITDA </w:t>
      </w:r>
      <w:r w:rsidR="00B55294" w:rsidRPr="006010AC">
        <w:rPr>
          <w:rFonts w:ascii="Arial" w:hAnsi="Arial" w:cs="Arial"/>
          <w:sz w:val="20"/>
          <w:szCs w:val="20"/>
        </w:rPr>
        <w:t>increased</w:t>
      </w:r>
      <w:r w:rsidR="00B55294" w:rsidRPr="006010AC" w:rsidDel="00B55294">
        <w:rPr>
          <w:rFonts w:ascii="Arial" w:hAnsi="Arial" w:cs="Arial"/>
          <w:sz w:val="20"/>
          <w:szCs w:val="20"/>
        </w:rPr>
        <w:t xml:space="preserve"> </w:t>
      </w:r>
      <w:r>
        <w:rPr>
          <w:rFonts w:ascii="Arial" w:hAnsi="Arial"/>
          <w:sz w:val="20"/>
          <w:szCs w:val="20"/>
        </w:rPr>
        <w:t xml:space="preserve">by 10%, and revenues - by 8.4%. The brand’s team experimented with new dishes and promotional menu items, and most of them became the best sellers in their categories. </w:t>
      </w:r>
      <w:r w:rsidR="0032021C">
        <w:rPr>
          <w:rFonts w:ascii="Arial" w:hAnsi="Arial"/>
          <w:sz w:val="20"/>
          <w:szCs w:val="20"/>
        </w:rPr>
        <w:t>A</w:t>
      </w:r>
      <w:r>
        <w:rPr>
          <w:rFonts w:ascii="Arial" w:hAnsi="Arial"/>
          <w:sz w:val="20"/>
          <w:szCs w:val="20"/>
        </w:rPr>
        <w:t xml:space="preserve">udience analysis </w:t>
      </w:r>
      <w:r w:rsidR="0032021C">
        <w:rPr>
          <w:rFonts w:ascii="Arial" w:hAnsi="Arial"/>
          <w:sz w:val="20"/>
          <w:szCs w:val="20"/>
        </w:rPr>
        <w:t>reveal</w:t>
      </w:r>
      <w:r>
        <w:rPr>
          <w:rFonts w:ascii="Arial" w:hAnsi="Arial"/>
          <w:sz w:val="20"/>
          <w:szCs w:val="20"/>
        </w:rPr>
        <w:t xml:space="preserve">ed </w:t>
      </w:r>
      <w:r w:rsidR="0032021C">
        <w:rPr>
          <w:rFonts w:ascii="Arial" w:hAnsi="Arial"/>
          <w:sz w:val="20"/>
          <w:szCs w:val="20"/>
        </w:rPr>
        <w:t>the necessity</w:t>
      </w:r>
      <w:r>
        <w:rPr>
          <w:rFonts w:ascii="Arial" w:hAnsi="Arial"/>
          <w:sz w:val="20"/>
          <w:szCs w:val="20"/>
        </w:rPr>
        <w:t xml:space="preserve"> to change the strategy for attracting guests. Engaging interactive content and digital technologies formed the backbone of the brand’s major communication.</w:t>
      </w:r>
    </w:p>
    <w:p w14:paraId="2178D495" w14:textId="77777777" w:rsidR="00415971" w:rsidRPr="00DE718D" w:rsidRDefault="00415971">
      <w:pPr>
        <w:pStyle w:val="a6"/>
        <w:rPr>
          <w:rFonts w:ascii="Arial" w:eastAsia="Arial" w:hAnsi="Arial" w:cs="Arial"/>
          <w:sz w:val="20"/>
          <w:szCs w:val="20"/>
          <w:lang w:val="en-US"/>
        </w:rPr>
      </w:pPr>
    </w:p>
    <w:p w14:paraId="33801CE0" w14:textId="5AD2DAA4" w:rsidR="00415971" w:rsidRDefault="008E6DD4">
      <w:pPr>
        <w:pStyle w:val="a6"/>
        <w:numPr>
          <w:ilvl w:val="0"/>
          <w:numId w:val="4"/>
        </w:numPr>
        <w:shd w:val="clear" w:color="auto" w:fill="FFFFFF"/>
        <w:spacing w:line="276" w:lineRule="auto"/>
        <w:rPr>
          <w:rFonts w:ascii="Arial" w:hAnsi="Arial"/>
          <w:sz w:val="20"/>
          <w:szCs w:val="20"/>
        </w:rPr>
      </w:pPr>
      <w:r>
        <w:rPr>
          <w:rFonts w:ascii="Arial" w:hAnsi="Arial"/>
          <w:sz w:val="20"/>
          <w:szCs w:val="20"/>
        </w:rPr>
        <w:t>Japanese Sushi Planet restaurants also saw a global brand relaunch. The brand ideology was reconsidered to introduce new menu planning principles and sales structure patterns. Dish ranges and service were updated. The ambiance in the restaurants was improved by introducing new service standards, interior designs and brand identity. Everything</w:t>
      </w:r>
      <w:r w:rsidR="0032021C">
        <w:rPr>
          <w:rFonts w:ascii="Arial" w:hAnsi="Arial"/>
          <w:sz w:val="20"/>
          <w:szCs w:val="20"/>
        </w:rPr>
        <w:t xml:space="preserve">’s </w:t>
      </w:r>
      <w:r>
        <w:rPr>
          <w:rFonts w:ascii="Arial" w:hAnsi="Arial"/>
          <w:sz w:val="20"/>
          <w:szCs w:val="20"/>
        </w:rPr>
        <w:t>changed</w:t>
      </w:r>
      <w:r w:rsidR="0032021C">
        <w:rPr>
          <w:rFonts w:ascii="Arial" w:hAnsi="Arial"/>
          <w:sz w:val="20"/>
          <w:szCs w:val="20"/>
        </w:rPr>
        <w:t xml:space="preserve"> except</w:t>
      </w:r>
      <w:r>
        <w:rPr>
          <w:rFonts w:ascii="Arial" w:hAnsi="Arial"/>
          <w:sz w:val="20"/>
          <w:szCs w:val="20"/>
        </w:rPr>
        <w:t xml:space="preserve"> the democratic prices and the devotion to the traditional Japanese cuisine in its modern interpretation. The first upgraded Sushi Planet launched by Rosinter’s franchise partner already opened its doors in the Ostrov Mechty Mall in Moscow.</w:t>
      </w:r>
    </w:p>
    <w:p w14:paraId="54E09D2B" w14:textId="77777777" w:rsidR="00415971" w:rsidRPr="00DE718D" w:rsidRDefault="00415971">
      <w:pPr>
        <w:pStyle w:val="a6"/>
        <w:rPr>
          <w:rFonts w:ascii="Arial" w:eastAsia="Arial" w:hAnsi="Arial" w:cs="Arial"/>
          <w:sz w:val="20"/>
          <w:szCs w:val="20"/>
          <w:lang w:val="en-US"/>
        </w:rPr>
      </w:pPr>
    </w:p>
    <w:p w14:paraId="47FA705F" w14:textId="16903934" w:rsidR="00415971" w:rsidRDefault="008E6DD4">
      <w:pPr>
        <w:pStyle w:val="a6"/>
        <w:numPr>
          <w:ilvl w:val="0"/>
          <w:numId w:val="4"/>
        </w:numPr>
        <w:shd w:val="clear" w:color="auto" w:fill="FFFFFF"/>
        <w:spacing w:line="276" w:lineRule="auto"/>
        <w:rPr>
          <w:rFonts w:ascii="Arial" w:hAnsi="Arial"/>
          <w:sz w:val="20"/>
          <w:szCs w:val="20"/>
        </w:rPr>
      </w:pPr>
      <w:r>
        <w:rPr>
          <w:rFonts w:ascii="Arial" w:hAnsi="Arial"/>
          <w:sz w:val="20"/>
          <w:szCs w:val="20"/>
        </w:rPr>
        <w:t>Changes concerned also the pan-Asian concept of Shikari: the chain updated its menu focusing on upgrading the guest consumption model. A gastronomic tour through Asian countries remained the brand’s main concept, and the</w:t>
      </w:r>
      <w:r w:rsidR="0032021C">
        <w:rPr>
          <w:rFonts w:ascii="Arial" w:hAnsi="Arial"/>
          <w:sz w:val="20"/>
          <w:szCs w:val="20"/>
        </w:rPr>
        <w:t xml:space="preserve"> top sellers include </w:t>
      </w:r>
      <w:r>
        <w:rPr>
          <w:rFonts w:ascii="Arial" w:hAnsi="Arial"/>
          <w:sz w:val="20"/>
          <w:szCs w:val="20"/>
        </w:rPr>
        <w:t xml:space="preserve">specialities that best illustrate it became. They steadily rank on top, on a par with popular rolls and tom yum soup.  As a result, Shikari’s EBITDA </w:t>
      </w:r>
      <w:r w:rsidR="0032021C">
        <w:rPr>
          <w:rFonts w:ascii="Arial" w:hAnsi="Arial"/>
          <w:sz w:val="20"/>
          <w:szCs w:val="20"/>
        </w:rPr>
        <w:t xml:space="preserve">increased </w:t>
      </w:r>
      <w:r>
        <w:rPr>
          <w:rFonts w:ascii="Arial" w:hAnsi="Arial"/>
          <w:sz w:val="20"/>
          <w:szCs w:val="20"/>
        </w:rPr>
        <w:t xml:space="preserve">by 12% as compared to 2019. </w:t>
      </w:r>
    </w:p>
    <w:p w14:paraId="6DB5C453" w14:textId="77777777" w:rsidR="00415971" w:rsidRPr="00DE718D" w:rsidRDefault="00415971">
      <w:pPr>
        <w:pStyle w:val="a6"/>
        <w:shd w:val="clear" w:color="auto" w:fill="FFFFFF"/>
        <w:spacing w:line="276" w:lineRule="auto"/>
        <w:ind w:left="294"/>
        <w:rPr>
          <w:rFonts w:ascii="Arial" w:eastAsia="Arial" w:hAnsi="Arial" w:cs="Arial"/>
          <w:sz w:val="20"/>
          <w:szCs w:val="20"/>
          <w:lang w:val="en-US"/>
        </w:rPr>
      </w:pPr>
    </w:p>
    <w:p w14:paraId="71399FDB" w14:textId="6FD982D8" w:rsidR="00415971" w:rsidRDefault="008E6DD4">
      <w:pPr>
        <w:shd w:val="clear" w:color="auto" w:fill="FFFFFF"/>
        <w:jc w:val="both"/>
        <w:rPr>
          <w:rFonts w:ascii="Arial" w:eastAsia="Arial" w:hAnsi="Arial" w:cs="Arial"/>
          <w:sz w:val="20"/>
          <w:szCs w:val="20"/>
        </w:rPr>
      </w:pPr>
      <w:r>
        <w:rPr>
          <w:rFonts w:ascii="Arial" w:hAnsi="Arial"/>
          <w:sz w:val="20"/>
          <w:szCs w:val="20"/>
        </w:rPr>
        <w:t xml:space="preserve">In 2021, much was done to boost sales, update and re-engineer menus in city restaurants. Independent customer reviews improved, and the offer from the restaurant brands became up-to-date and popular, which is demonstrated by the results achieved. The company actively worked to promote the brands in the digital space. Rosinter managed to negotiate with landlords substantial discounts on fixed rental conditions, some restaurants started working according to the percentage of sales model. As more customers started working remotely, the Company did much to improve the delivery unit. </w:t>
      </w:r>
    </w:p>
    <w:p w14:paraId="4AB69091" w14:textId="633B86F0" w:rsidR="00415971" w:rsidRDefault="005504D5">
      <w:pPr>
        <w:shd w:val="clear" w:color="auto" w:fill="FFFFFF"/>
        <w:jc w:val="both"/>
        <w:rPr>
          <w:rFonts w:ascii="Arial" w:eastAsia="Arial" w:hAnsi="Arial" w:cs="Arial"/>
          <w:sz w:val="20"/>
          <w:szCs w:val="20"/>
        </w:rPr>
      </w:pPr>
      <w:r>
        <w:rPr>
          <w:rFonts w:ascii="Arial" w:hAnsi="Arial"/>
          <w:sz w:val="20"/>
          <w:szCs w:val="20"/>
        </w:rPr>
        <w:t xml:space="preserve">As a result, compared to pre-pandemic 2019, in 2021 the profit margins of city restaurants increased two-fold. </w:t>
      </w:r>
    </w:p>
    <w:p w14:paraId="58D4D5D4" w14:textId="35EF3B3C" w:rsidR="00415971" w:rsidRDefault="008E6DD4">
      <w:pPr>
        <w:shd w:val="clear" w:color="auto" w:fill="FFFFFF"/>
        <w:jc w:val="both"/>
        <w:rPr>
          <w:rFonts w:ascii="Arial" w:eastAsia="Arial" w:hAnsi="Arial" w:cs="Arial"/>
          <w:sz w:val="20"/>
          <w:szCs w:val="20"/>
        </w:rPr>
      </w:pPr>
      <w:r>
        <w:rPr>
          <w:rFonts w:ascii="Arial" w:hAnsi="Arial"/>
          <w:sz w:val="20"/>
          <w:szCs w:val="20"/>
        </w:rPr>
        <w:t xml:space="preserve">Due to the remaining restrictions, the situation in the transportation hubs where a large part of the Company’s restaurants do business remains complicated. The traffic recovery is slow. Nevertheless, Rosinter increased EBITDA of its outlets in the transportation hubs by 8 </w:t>
      </w:r>
      <w:r w:rsidR="003E57D4">
        <w:rPr>
          <w:rFonts w:ascii="Arial" w:hAnsi="Arial"/>
          <w:sz w:val="20"/>
          <w:szCs w:val="20"/>
        </w:rPr>
        <w:t xml:space="preserve">percentage points </w:t>
      </w:r>
      <w:r>
        <w:rPr>
          <w:rFonts w:ascii="Arial" w:hAnsi="Arial"/>
          <w:sz w:val="20"/>
          <w:szCs w:val="20"/>
        </w:rPr>
        <w:t xml:space="preserve">by taking steps to improve operational performance and optimize business processes. </w:t>
      </w:r>
    </w:p>
    <w:p w14:paraId="781C06F8" w14:textId="5FE54725" w:rsidR="00415971" w:rsidRDefault="008E6DD4">
      <w:pPr>
        <w:shd w:val="clear" w:color="auto" w:fill="FFFFFF"/>
        <w:jc w:val="both"/>
        <w:rPr>
          <w:rFonts w:ascii="Arial" w:eastAsia="Arial" w:hAnsi="Arial" w:cs="Arial"/>
          <w:sz w:val="20"/>
          <w:szCs w:val="20"/>
        </w:rPr>
      </w:pPr>
      <w:r>
        <w:rPr>
          <w:rFonts w:ascii="Arial" w:hAnsi="Arial"/>
          <w:sz w:val="20"/>
          <w:szCs w:val="20"/>
        </w:rPr>
        <w:t>Of particular note is McDonald’s brand. During 2021, Rosinter opened four new fast food outlets: at the Leningradsy train station in Moscow, and at the Moscow, Baltic and Finland train stations in Saint Petersburg. Those were the first outlets of the world-famous fast food chain to appear at the railway stations of Russia. Today, Rosinter Restaurants’ portfolio comprises 9 McDonald’s fast food outlets operating under a franchise license in the transportation hubs of Moscow and Saint Petersburg.</w:t>
      </w:r>
    </w:p>
    <w:p w14:paraId="664459F1" w14:textId="10289666" w:rsidR="00415971" w:rsidRDefault="008E6DD4">
      <w:pPr>
        <w:shd w:val="clear" w:color="auto" w:fill="FFFFFF"/>
        <w:jc w:val="both"/>
        <w:rPr>
          <w:rFonts w:ascii="Arial" w:eastAsia="Arial" w:hAnsi="Arial" w:cs="Arial"/>
          <w:sz w:val="20"/>
          <w:szCs w:val="20"/>
        </w:rPr>
      </w:pPr>
      <w:r>
        <w:rPr>
          <w:rFonts w:ascii="Arial" w:hAnsi="Arial"/>
          <w:sz w:val="20"/>
          <w:szCs w:val="20"/>
        </w:rPr>
        <w:t xml:space="preserve">The Company continued its regional expansion strategy and extended its franchise network. In 2021, Rosinter’s franchise partners held steady in Russia’s regions and opened 10 new franchise restaurants, in particular, in Moscow and Moscow oblast, Baku and Krasnodar, and in two new cities for the Company - Tashkent and Obninsk.  </w:t>
      </w:r>
    </w:p>
    <w:p w14:paraId="673B6A82" w14:textId="77777777" w:rsidR="00415971" w:rsidRDefault="008E6DD4">
      <w:pPr>
        <w:shd w:val="clear" w:color="auto" w:fill="FFFFFF"/>
        <w:jc w:val="both"/>
        <w:rPr>
          <w:rFonts w:ascii="Arial" w:eastAsia="Arial" w:hAnsi="Arial" w:cs="Arial"/>
          <w:sz w:val="20"/>
          <w:szCs w:val="20"/>
        </w:rPr>
      </w:pPr>
      <w:r>
        <w:rPr>
          <w:rFonts w:ascii="Arial" w:hAnsi="Arial"/>
          <w:sz w:val="20"/>
          <w:szCs w:val="20"/>
        </w:rPr>
        <w:t xml:space="preserve">In 2021, the entire restaurant industry faced a massive personnel crisis - lack of personnel due to the imposed restrictions and the flow of a substantial part of personnel to the delivery and e-commerce segment. In those circumstances, Rosinter managed to retain the team and maintain the necessary staffing levels to ensure recovery of its restaurant business and growth of sales, by revising recruitment standards, putting in place </w:t>
      </w:r>
      <w:r>
        <w:rPr>
          <w:rFonts w:ascii="Arial" w:hAnsi="Arial"/>
          <w:sz w:val="20"/>
          <w:szCs w:val="20"/>
        </w:rPr>
        <w:lastRenderedPageBreak/>
        <w:t xml:space="preserve">additional engagement schemes and an internal training system at the premises of a licensed corporate university, and extensively using Teachbase remote employee training platform.  </w:t>
      </w:r>
    </w:p>
    <w:p w14:paraId="6D71F602" w14:textId="4614E010" w:rsidR="00415971" w:rsidRDefault="008E6DD4">
      <w:pPr>
        <w:shd w:val="clear" w:color="auto" w:fill="FFFFFF"/>
        <w:jc w:val="both"/>
        <w:rPr>
          <w:rFonts w:ascii="Arial" w:eastAsia="Arial" w:hAnsi="Arial" w:cs="Arial"/>
          <w:sz w:val="20"/>
          <w:szCs w:val="20"/>
        </w:rPr>
      </w:pPr>
      <w:r>
        <w:rPr>
          <w:rFonts w:ascii="Arial" w:hAnsi="Arial"/>
          <w:sz w:val="20"/>
          <w:szCs w:val="20"/>
        </w:rPr>
        <w:t>It is worth noting particularly that the company fully discharged all assumed obligations to repay principal and interest and to pay taxes to the budget in 2021.</w:t>
      </w:r>
    </w:p>
    <w:p w14:paraId="0A91C9E1" w14:textId="35C0413E" w:rsidR="00271263" w:rsidRDefault="008E6DD4">
      <w:pPr>
        <w:shd w:val="clear" w:color="auto" w:fill="FFFFFF"/>
        <w:jc w:val="both"/>
        <w:rPr>
          <w:rFonts w:ascii="Arial" w:hAnsi="Arial"/>
          <w:sz w:val="20"/>
          <w:szCs w:val="20"/>
        </w:rPr>
      </w:pPr>
      <w:r>
        <w:rPr>
          <w:rFonts w:ascii="Arial" w:hAnsi="Arial"/>
          <w:sz w:val="20"/>
          <w:szCs w:val="20"/>
        </w:rPr>
        <w:t>The activities implemented by Rosinter to optimize operational efficiency and growth contributed to reducing lease costs in the revenues by 3.5% against 2019. In addition, the company cut costs on food and beverages by 0.</w:t>
      </w:r>
      <w:r w:rsidR="00842234" w:rsidRPr="00842234">
        <w:rPr>
          <w:rFonts w:ascii="Arial" w:hAnsi="Arial"/>
          <w:sz w:val="20"/>
          <w:szCs w:val="20"/>
          <w:lang w:val="en-US"/>
        </w:rPr>
        <w:t>7</w:t>
      </w:r>
      <w:r>
        <w:rPr>
          <w:rFonts w:ascii="Arial" w:hAnsi="Arial"/>
          <w:sz w:val="20"/>
          <w:szCs w:val="20"/>
        </w:rPr>
        <w:t>% (</w:t>
      </w:r>
      <w:r w:rsidR="005B5C12">
        <w:rPr>
          <w:rFonts w:ascii="Arial" w:hAnsi="Arial"/>
          <w:sz w:val="20"/>
          <w:szCs w:val="20"/>
        </w:rPr>
        <w:t xml:space="preserve">compared to </w:t>
      </w:r>
      <w:r>
        <w:rPr>
          <w:rFonts w:ascii="Arial" w:hAnsi="Arial"/>
          <w:sz w:val="20"/>
          <w:szCs w:val="20"/>
        </w:rPr>
        <w:t>2019) and staff costs in the revenues by 1.</w:t>
      </w:r>
      <w:r w:rsidR="00842234" w:rsidRPr="00842234">
        <w:rPr>
          <w:rFonts w:ascii="Arial" w:hAnsi="Arial"/>
          <w:sz w:val="20"/>
          <w:szCs w:val="20"/>
          <w:lang w:val="en-US"/>
        </w:rPr>
        <w:t>3</w:t>
      </w:r>
      <w:r>
        <w:rPr>
          <w:rFonts w:ascii="Arial" w:hAnsi="Arial"/>
          <w:sz w:val="20"/>
          <w:szCs w:val="20"/>
        </w:rPr>
        <w:t xml:space="preserve">%. </w:t>
      </w:r>
    </w:p>
    <w:p w14:paraId="47F7A370" w14:textId="6F5CFC34" w:rsidR="00415971" w:rsidRDefault="008E6DD4">
      <w:pPr>
        <w:shd w:val="clear" w:color="auto" w:fill="FFFFFF"/>
        <w:jc w:val="both"/>
        <w:rPr>
          <w:rFonts w:ascii="Arial" w:eastAsia="Arial" w:hAnsi="Arial" w:cs="Arial"/>
          <w:sz w:val="20"/>
          <w:szCs w:val="20"/>
        </w:rPr>
      </w:pPr>
      <w:r>
        <w:rPr>
          <w:rFonts w:ascii="Arial" w:hAnsi="Arial"/>
          <w:sz w:val="20"/>
          <w:szCs w:val="20"/>
        </w:rPr>
        <w:t xml:space="preserve">As a result, </w:t>
      </w:r>
      <w:r w:rsidR="003E57D4">
        <w:rPr>
          <w:rFonts w:ascii="Arial" w:hAnsi="Arial"/>
          <w:sz w:val="20"/>
          <w:szCs w:val="20"/>
        </w:rPr>
        <w:t>in</w:t>
      </w:r>
      <w:r>
        <w:rPr>
          <w:rFonts w:ascii="Arial" w:hAnsi="Arial"/>
          <w:sz w:val="20"/>
          <w:szCs w:val="20"/>
        </w:rPr>
        <w:t xml:space="preserve"> 2021 restaurant EBITDA </w:t>
      </w:r>
      <w:r w:rsidR="005B5C12">
        <w:rPr>
          <w:rFonts w:ascii="Arial" w:hAnsi="Arial"/>
          <w:sz w:val="20"/>
          <w:szCs w:val="20"/>
        </w:rPr>
        <w:t>increased</w:t>
      </w:r>
      <w:r>
        <w:rPr>
          <w:rFonts w:ascii="Arial" w:hAnsi="Arial"/>
          <w:sz w:val="20"/>
          <w:szCs w:val="20"/>
        </w:rPr>
        <w:t xml:space="preserve"> by 7 </w:t>
      </w:r>
      <w:r w:rsidR="003E57D4">
        <w:rPr>
          <w:rFonts w:ascii="Arial" w:hAnsi="Arial"/>
          <w:sz w:val="20"/>
          <w:szCs w:val="20"/>
        </w:rPr>
        <w:t>percentage points</w:t>
      </w:r>
      <w:r>
        <w:rPr>
          <w:rFonts w:ascii="Arial" w:hAnsi="Arial"/>
          <w:sz w:val="20"/>
          <w:szCs w:val="20"/>
        </w:rPr>
        <w:t xml:space="preserve"> from 11.2% to 18.3%</w:t>
      </w:r>
      <w:r w:rsidR="00657008">
        <w:rPr>
          <w:rFonts w:ascii="Arial" w:hAnsi="Arial"/>
          <w:sz w:val="20"/>
          <w:szCs w:val="20"/>
        </w:rPr>
        <w:t>.</w:t>
      </w:r>
      <w:r>
        <w:rPr>
          <w:rFonts w:ascii="Arial" w:hAnsi="Arial"/>
          <w:sz w:val="20"/>
          <w:szCs w:val="20"/>
        </w:rPr>
        <w:t xml:space="preserve"> </w:t>
      </w:r>
    </w:p>
    <w:p w14:paraId="41B8B649" w14:textId="6CE045BA" w:rsidR="00271263" w:rsidRDefault="008E6DD4">
      <w:pPr>
        <w:shd w:val="clear" w:color="auto" w:fill="FFFFFF"/>
        <w:jc w:val="both"/>
        <w:rPr>
          <w:rFonts w:ascii="Arial" w:hAnsi="Arial"/>
          <w:sz w:val="20"/>
          <w:szCs w:val="20"/>
        </w:rPr>
      </w:pPr>
      <w:bookmarkStart w:id="2" w:name="_Hlk70363537"/>
      <w:r>
        <w:rPr>
          <w:rFonts w:ascii="Arial" w:hAnsi="Arial"/>
          <w:sz w:val="20"/>
          <w:szCs w:val="20"/>
        </w:rPr>
        <w:t>I</w:t>
      </w:r>
      <w:bookmarkStart w:id="3" w:name="_Hlk70410904"/>
      <w:bookmarkEnd w:id="2"/>
      <w:r>
        <w:rPr>
          <w:rFonts w:ascii="Arial" w:hAnsi="Arial"/>
          <w:sz w:val="20"/>
          <w:szCs w:val="20"/>
        </w:rPr>
        <w:t xml:space="preserve">n 2021, Rosinter’s revenue </w:t>
      </w:r>
      <w:r w:rsidR="005B5C12">
        <w:rPr>
          <w:rFonts w:ascii="Arial" w:hAnsi="Arial"/>
          <w:sz w:val="20"/>
          <w:szCs w:val="20"/>
        </w:rPr>
        <w:t xml:space="preserve">amounted </w:t>
      </w:r>
      <w:r>
        <w:rPr>
          <w:rFonts w:ascii="Arial" w:hAnsi="Arial"/>
          <w:sz w:val="20"/>
          <w:szCs w:val="20"/>
        </w:rPr>
        <w:t>to</w:t>
      </w:r>
      <w:r w:rsidR="00C03620">
        <w:rPr>
          <w:rFonts w:ascii="Arial" w:hAnsi="Arial"/>
          <w:sz w:val="20"/>
          <w:szCs w:val="20"/>
        </w:rPr>
        <w:t xml:space="preserve"> RUB</w:t>
      </w:r>
      <w:r>
        <w:rPr>
          <w:rFonts w:ascii="Arial" w:hAnsi="Arial"/>
          <w:sz w:val="20"/>
          <w:szCs w:val="20"/>
        </w:rPr>
        <w:t xml:space="preserve"> 6.2 billion</w:t>
      </w:r>
      <w:r w:rsidR="005B5C12">
        <w:rPr>
          <w:rFonts w:ascii="Arial" w:hAnsi="Arial"/>
          <w:sz w:val="20"/>
          <w:szCs w:val="20"/>
        </w:rPr>
        <w:t xml:space="preserve"> and </w:t>
      </w:r>
      <w:r>
        <w:rPr>
          <w:rFonts w:ascii="Arial" w:hAnsi="Arial"/>
          <w:sz w:val="20"/>
          <w:szCs w:val="20"/>
        </w:rPr>
        <w:t xml:space="preserve">increased by 58.1% </w:t>
      </w:r>
      <w:r w:rsidR="005B5C12">
        <w:rPr>
          <w:rFonts w:ascii="Arial" w:hAnsi="Arial"/>
          <w:sz w:val="20"/>
          <w:szCs w:val="20"/>
        </w:rPr>
        <w:t xml:space="preserve">compared to </w:t>
      </w:r>
      <w:r>
        <w:rPr>
          <w:rFonts w:ascii="Arial" w:hAnsi="Arial"/>
          <w:sz w:val="20"/>
          <w:szCs w:val="20"/>
        </w:rPr>
        <w:t>2020. The company showed a solid increase in the key financial indicators: EBITDA (</w:t>
      </w:r>
      <w:r w:rsidR="005B5C12">
        <w:rPr>
          <w:rFonts w:ascii="Arial" w:hAnsi="Arial"/>
          <w:sz w:val="20"/>
          <w:szCs w:val="20"/>
        </w:rPr>
        <w:t>adjusted IAS 17</w:t>
      </w:r>
      <w:r>
        <w:rPr>
          <w:rFonts w:ascii="Arial" w:hAnsi="Arial"/>
          <w:sz w:val="20"/>
          <w:szCs w:val="20"/>
        </w:rPr>
        <w:t xml:space="preserve">) </w:t>
      </w:r>
      <w:r w:rsidR="003E5E5C">
        <w:rPr>
          <w:rFonts w:ascii="Arial" w:hAnsi="Arial"/>
          <w:sz w:val="20"/>
          <w:szCs w:val="20"/>
        </w:rPr>
        <w:t xml:space="preserve">amounted </w:t>
      </w:r>
      <w:r>
        <w:rPr>
          <w:rFonts w:ascii="Arial" w:hAnsi="Arial"/>
          <w:sz w:val="20"/>
          <w:szCs w:val="20"/>
        </w:rPr>
        <w:t xml:space="preserve">to </w:t>
      </w:r>
      <w:r w:rsidR="003E5E5C">
        <w:rPr>
          <w:rFonts w:ascii="Arial" w:hAnsi="Arial"/>
          <w:sz w:val="20"/>
          <w:szCs w:val="20"/>
        </w:rPr>
        <w:t xml:space="preserve">RUB </w:t>
      </w:r>
      <w:r>
        <w:rPr>
          <w:rFonts w:ascii="Arial" w:hAnsi="Arial"/>
          <w:sz w:val="20"/>
          <w:szCs w:val="20"/>
        </w:rPr>
        <w:t xml:space="preserve">661 million, having increased </w:t>
      </w:r>
      <w:r w:rsidR="005B5C12">
        <w:rPr>
          <w:rFonts w:ascii="Arial" w:hAnsi="Arial"/>
          <w:sz w:val="20"/>
          <w:szCs w:val="20"/>
        </w:rPr>
        <w:t>compared to</w:t>
      </w:r>
      <w:r>
        <w:rPr>
          <w:rFonts w:ascii="Arial" w:hAnsi="Arial"/>
          <w:sz w:val="20"/>
          <w:szCs w:val="20"/>
        </w:rPr>
        <w:t xml:space="preserve"> pre-pandemic 2019 by 3</w:t>
      </w:r>
      <w:r w:rsidR="00842234" w:rsidRPr="00842234">
        <w:rPr>
          <w:rFonts w:ascii="Arial" w:hAnsi="Arial"/>
          <w:sz w:val="20"/>
          <w:szCs w:val="20"/>
          <w:lang w:val="en-US"/>
        </w:rPr>
        <w:t>8</w:t>
      </w:r>
      <w:r>
        <w:rPr>
          <w:rFonts w:ascii="Arial" w:hAnsi="Arial"/>
          <w:sz w:val="20"/>
          <w:szCs w:val="20"/>
        </w:rPr>
        <w:t xml:space="preserve">%, and EBITDA margin </w:t>
      </w:r>
      <w:r w:rsidR="00B55294" w:rsidRPr="006010AC">
        <w:rPr>
          <w:rFonts w:ascii="Arial" w:hAnsi="Arial" w:cs="Arial"/>
          <w:sz w:val="20"/>
          <w:szCs w:val="20"/>
        </w:rPr>
        <w:t>increased</w:t>
      </w:r>
      <w:r w:rsidR="003E5E5C">
        <w:rPr>
          <w:rFonts w:ascii="Arial" w:hAnsi="Arial"/>
          <w:sz w:val="20"/>
          <w:szCs w:val="20"/>
        </w:rPr>
        <w:t xml:space="preserve"> </w:t>
      </w:r>
      <w:r>
        <w:rPr>
          <w:rFonts w:ascii="Arial" w:hAnsi="Arial"/>
          <w:sz w:val="20"/>
          <w:szCs w:val="20"/>
        </w:rPr>
        <w:t xml:space="preserve">to 10.6%. </w:t>
      </w:r>
    </w:p>
    <w:p w14:paraId="0245CB25" w14:textId="26F4E2C9" w:rsidR="00415971" w:rsidRDefault="005B5C12">
      <w:pPr>
        <w:shd w:val="clear" w:color="auto" w:fill="FFFFFF"/>
        <w:jc w:val="both"/>
        <w:rPr>
          <w:rFonts w:ascii="Arial" w:eastAsia="Arial" w:hAnsi="Arial" w:cs="Arial"/>
          <w:sz w:val="20"/>
          <w:szCs w:val="20"/>
        </w:rPr>
      </w:pPr>
      <w:r>
        <w:rPr>
          <w:rFonts w:ascii="Arial" w:hAnsi="Arial"/>
          <w:sz w:val="20"/>
          <w:szCs w:val="20"/>
        </w:rPr>
        <w:t>In 2021</w:t>
      </w:r>
      <w:r w:rsidR="008E6DD4">
        <w:rPr>
          <w:rFonts w:ascii="Arial" w:hAnsi="Arial"/>
          <w:sz w:val="20"/>
          <w:szCs w:val="20"/>
        </w:rPr>
        <w:t xml:space="preserve"> Rosinter’s net profit amounted to </w:t>
      </w:r>
      <w:r w:rsidR="003E5E5C">
        <w:rPr>
          <w:rFonts w:ascii="Arial" w:hAnsi="Arial"/>
          <w:sz w:val="20"/>
          <w:szCs w:val="20"/>
        </w:rPr>
        <w:t xml:space="preserve">RUB </w:t>
      </w:r>
      <w:r w:rsidR="008E6DD4">
        <w:rPr>
          <w:rFonts w:ascii="Arial" w:hAnsi="Arial"/>
          <w:sz w:val="20"/>
          <w:szCs w:val="20"/>
        </w:rPr>
        <w:t>18 million (</w:t>
      </w:r>
      <w:r>
        <w:rPr>
          <w:rFonts w:ascii="Arial" w:hAnsi="Arial"/>
          <w:sz w:val="20"/>
          <w:szCs w:val="20"/>
        </w:rPr>
        <w:t xml:space="preserve">adjusted </w:t>
      </w:r>
      <w:r w:rsidR="008E6DD4">
        <w:rPr>
          <w:rFonts w:ascii="Arial" w:hAnsi="Arial"/>
          <w:sz w:val="20"/>
          <w:szCs w:val="20"/>
        </w:rPr>
        <w:t>IAS 17).</w:t>
      </w:r>
    </w:p>
    <w:p w14:paraId="4A8EFA8C" w14:textId="1BACEFB8" w:rsidR="00415971" w:rsidRDefault="008E6DD4">
      <w:pPr>
        <w:shd w:val="clear" w:color="auto" w:fill="FFFFFF"/>
        <w:jc w:val="both"/>
        <w:rPr>
          <w:rFonts w:ascii="Arial" w:eastAsia="Arial" w:hAnsi="Arial" w:cs="Arial"/>
          <w:sz w:val="20"/>
          <w:szCs w:val="20"/>
        </w:rPr>
      </w:pPr>
      <w:r>
        <w:rPr>
          <w:rFonts w:ascii="Arial" w:hAnsi="Arial"/>
          <w:sz w:val="20"/>
          <w:szCs w:val="20"/>
        </w:rPr>
        <w:t xml:space="preserve">We are </w:t>
      </w:r>
      <w:r w:rsidR="005B5C12">
        <w:rPr>
          <w:rFonts w:ascii="Arial" w:hAnsi="Arial"/>
          <w:sz w:val="20"/>
          <w:szCs w:val="20"/>
        </w:rPr>
        <w:t xml:space="preserve">sure </w:t>
      </w:r>
      <w:r>
        <w:rPr>
          <w:rFonts w:ascii="Arial" w:hAnsi="Arial"/>
          <w:sz w:val="20"/>
          <w:szCs w:val="20"/>
        </w:rPr>
        <w:t xml:space="preserve">that the growth strategy being underway and Rosinter </w:t>
      </w:r>
      <w:r w:rsidRPr="00F37485">
        <w:rPr>
          <w:rFonts w:ascii="Arial" w:hAnsi="Arial"/>
          <w:sz w:val="20"/>
          <w:szCs w:val="20"/>
        </w:rPr>
        <w:t>Restaurants’ c</w:t>
      </w:r>
      <w:r>
        <w:rPr>
          <w:rFonts w:ascii="Arial" w:hAnsi="Arial"/>
          <w:sz w:val="20"/>
          <w:szCs w:val="20"/>
        </w:rPr>
        <w:t>ompetitive strengths such as geographical business diversification and a balanced portfolio of universal restaurant brands will help Rosinter to continue succeeding in meeting market challenges and in consolidating its positions by enhancing product offers, increasing guest traffic and guest loyalty”</w:t>
      </w:r>
      <w:bookmarkEnd w:id="3"/>
      <w:r>
        <w:rPr>
          <w:rFonts w:ascii="Arial" w:hAnsi="Arial"/>
          <w:sz w:val="20"/>
          <w:szCs w:val="20"/>
        </w:rPr>
        <w:t>.</w:t>
      </w:r>
    </w:p>
    <w:p w14:paraId="6A2E97DD" w14:textId="77777777" w:rsidR="00415971" w:rsidRDefault="008E6DD4">
      <w:pPr>
        <w:spacing w:after="0" w:line="240" w:lineRule="auto"/>
      </w:pPr>
      <w:r>
        <w:br w:type="page"/>
      </w:r>
    </w:p>
    <w:tbl>
      <w:tblPr>
        <w:tblStyle w:val="TableNormal1"/>
        <w:tblW w:w="992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923"/>
      </w:tblGrid>
      <w:tr w:rsidR="00415971" w14:paraId="56464962" w14:textId="77777777" w:rsidTr="00E13EE7">
        <w:trPr>
          <w:trHeight w:val="471"/>
          <w:jc w:val="center"/>
        </w:trPr>
        <w:tc>
          <w:tcPr>
            <w:tcW w:w="9923" w:type="dxa"/>
            <w:tcBorders>
              <w:top w:val="nil"/>
              <w:left w:val="nil"/>
              <w:bottom w:val="nil"/>
              <w:right w:val="nil"/>
            </w:tcBorders>
            <w:shd w:val="clear" w:color="auto" w:fill="FFC000"/>
            <w:tcMar>
              <w:top w:w="80" w:type="dxa"/>
              <w:left w:w="80" w:type="dxa"/>
              <w:bottom w:w="80" w:type="dxa"/>
              <w:right w:w="80" w:type="dxa"/>
            </w:tcMar>
            <w:vAlign w:val="center"/>
          </w:tcPr>
          <w:p w14:paraId="3D11285D" w14:textId="6C939A68" w:rsidR="00415971" w:rsidRDefault="004936F2" w:rsidP="00836154">
            <w:pPr>
              <w:spacing w:after="0" w:line="240" w:lineRule="auto"/>
              <w:jc w:val="center"/>
            </w:pPr>
            <w:r>
              <w:rPr>
                <w:b/>
                <w:bCs/>
              </w:rPr>
              <w:lastRenderedPageBreak/>
              <w:t>2021 FINANCIAL AND OPERATING RESULTS</w:t>
            </w:r>
          </w:p>
        </w:tc>
      </w:tr>
    </w:tbl>
    <w:p w14:paraId="51675D6C" w14:textId="77777777" w:rsidR="00415971" w:rsidRDefault="00415971">
      <w:pPr>
        <w:widowControl w:val="0"/>
        <w:spacing w:after="0" w:line="240" w:lineRule="auto"/>
        <w:jc w:val="center"/>
        <w:rPr>
          <w:rFonts w:ascii="Arial" w:eastAsia="Arial" w:hAnsi="Arial" w:cs="Arial"/>
          <w:sz w:val="20"/>
          <w:szCs w:val="20"/>
        </w:rPr>
      </w:pPr>
    </w:p>
    <w:p w14:paraId="0577C7BD" w14:textId="77777777" w:rsidR="00415971" w:rsidRPr="004936F2" w:rsidRDefault="008E6DD4">
      <w:pPr>
        <w:spacing w:before="240" w:after="0"/>
        <w:jc w:val="both"/>
        <w:rPr>
          <w:rFonts w:ascii="Arial" w:eastAsia="Arial" w:hAnsi="Arial" w:cs="Arial"/>
          <w:i/>
          <w:iCs/>
          <w:color w:val="E36C0A" w:themeColor="accent6" w:themeShade="BF"/>
          <w:spacing w:val="-1"/>
          <w:u w:color="111111"/>
          <w:shd w:val="clear" w:color="auto" w:fill="FFFFFF"/>
        </w:rPr>
      </w:pPr>
      <w:r>
        <w:rPr>
          <w:rFonts w:ascii="Arial" w:hAnsi="Arial"/>
          <w:i/>
          <w:iCs/>
          <w:color w:val="E36C0A" w:themeColor="accent6" w:themeShade="BF"/>
          <w:u w:color="111111"/>
          <w:shd w:val="clear" w:color="auto" w:fill="FFFFFF"/>
        </w:rPr>
        <w:t xml:space="preserve">The table below contains comparative results under IFRS 16 and IAS 17, as the latter most reliably reflects the Company's performance. </w:t>
      </w:r>
    </w:p>
    <w:p w14:paraId="5F36466B" w14:textId="77777777" w:rsidR="00415971" w:rsidRDefault="00415971">
      <w:pPr>
        <w:spacing w:after="0" w:line="240" w:lineRule="auto"/>
        <w:jc w:val="both"/>
      </w:pPr>
    </w:p>
    <w:p w14:paraId="40386FE1" w14:textId="209F678F" w:rsidR="00415971" w:rsidRDefault="00EA2D45">
      <w:pPr>
        <w:spacing w:after="0" w:line="240" w:lineRule="auto"/>
        <w:jc w:val="both"/>
        <w:rPr>
          <w:rFonts w:ascii="Arial" w:eastAsia="Arial" w:hAnsi="Arial" w:cs="Arial"/>
          <w:b/>
          <w:bCs/>
          <w:i/>
          <w:iCs/>
          <w:sz w:val="20"/>
          <w:szCs w:val="20"/>
        </w:rPr>
      </w:pPr>
      <w:r w:rsidRPr="00EA2D45">
        <w:rPr>
          <w:noProof/>
          <w:lang w:val="ru-RU"/>
        </w:rPr>
        <w:drawing>
          <wp:inline distT="0" distB="0" distL="0" distR="0" wp14:anchorId="7CC56413" wp14:editId="3C03EFCE">
            <wp:extent cx="6296025" cy="3703249"/>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6025" cy="3703249"/>
                    </a:xfrm>
                    <a:prstGeom prst="rect">
                      <a:avLst/>
                    </a:prstGeom>
                    <a:noFill/>
                    <a:ln>
                      <a:noFill/>
                    </a:ln>
                  </pic:spPr>
                </pic:pic>
              </a:graphicData>
            </a:graphic>
          </wp:inline>
        </w:drawing>
      </w:r>
    </w:p>
    <w:p w14:paraId="5028F1FD" w14:textId="77777777" w:rsidR="00415971" w:rsidRPr="004936F2" w:rsidRDefault="008E6DD4">
      <w:pPr>
        <w:spacing w:before="240" w:after="0"/>
        <w:jc w:val="both"/>
        <w:rPr>
          <w:rFonts w:ascii="Arial" w:eastAsia="Arial" w:hAnsi="Arial" w:cs="Arial"/>
          <w:i/>
          <w:iCs/>
          <w:color w:val="E36C0A" w:themeColor="accent6" w:themeShade="BF"/>
          <w:sz w:val="20"/>
          <w:szCs w:val="20"/>
        </w:rPr>
      </w:pPr>
      <w:r>
        <w:rPr>
          <w:rFonts w:ascii="Arial" w:hAnsi="Arial"/>
          <w:i/>
          <w:iCs/>
          <w:color w:val="E36C0A" w:themeColor="accent6" w:themeShade="BF"/>
          <w:sz w:val="20"/>
          <w:szCs w:val="20"/>
        </w:rPr>
        <w:t>The comments to the table are based on financial results adjusted to IAS 17</w:t>
      </w:r>
    </w:p>
    <w:p w14:paraId="4DD85C4A" w14:textId="110AAA32" w:rsidR="00415971" w:rsidRDefault="008E6DD4">
      <w:pPr>
        <w:spacing w:before="240" w:after="0"/>
        <w:jc w:val="both"/>
        <w:rPr>
          <w:rFonts w:ascii="Arial" w:eastAsia="Arial" w:hAnsi="Arial" w:cs="Arial"/>
          <w:sz w:val="20"/>
          <w:szCs w:val="20"/>
        </w:rPr>
      </w:pPr>
      <w:bookmarkStart w:id="4" w:name="_Hlk101540493"/>
      <w:r>
        <w:rPr>
          <w:rFonts w:ascii="Arial" w:hAnsi="Arial"/>
          <w:b/>
          <w:i/>
          <w:sz w:val="20"/>
          <w:szCs w:val="20"/>
        </w:rPr>
        <w:t>Consolidated revenue</w:t>
      </w:r>
      <w:r>
        <w:rPr>
          <w:rFonts w:ascii="Arial" w:hAnsi="Arial"/>
          <w:sz w:val="20"/>
          <w:szCs w:val="20"/>
        </w:rPr>
        <w:t xml:space="preserve"> </w:t>
      </w:r>
      <w:r w:rsidR="003E5E5C">
        <w:rPr>
          <w:rFonts w:ascii="Arial" w:hAnsi="Arial"/>
          <w:sz w:val="20"/>
          <w:szCs w:val="20"/>
        </w:rPr>
        <w:t>in</w:t>
      </w:r>
      <w:r>
        <w:rPr>
          <w:rFonts w:ascii="Arial" w:hAnsi="Arial"/>
          <w:sz w:val="20"/>
          <w:szCs w:val="20"/>
        </w:rPr>
        <w:t xml:space="preserve"> 2021 </w:t>
      </w:r>
      <w:r w:rsidR="00B55294" w:rsidRPr="006010AC">
        <w:rPr>
          <w:rFonts w:ascii="Arial" w:hAnsi="Arial" w:cs="Arial"/>
          <w:sz w:val="20"/>
          <w:szCs w:val="20"/>
        </w:rPr>
        <w:t>increased</w:t>
      </w:r>
      <w:r>
        <w:rPr>
          <w:rFonts w:ascii="Arial" w:hAnsi="Arial"/>
          <w:sz w:val="20"/>
          <w:szCs w:val="20"/>
        </w:rPr>
        <w:t xml:space="preserve"> by 58.1% compared to 2020</w:t>
      </w:r>
      <w:r w:rsidR="003E5E5C">
        <w:rPr>
          <w:rFonts w:ascii="Arial" w:hAnsi="Arial"/>
          <w:sz w:val="20"/>
          <w:szCs w:val="20"/>
        </w:rPr>
        <w:t xml:space="preserve"> and amounted</w:t>
      </w:r>
      <w:r>
        <w:rPr>
          <w:rFonts w:ascii="Arial" w:hAnsi="Arial"/>
          <w:sz w:val="20"/>
          <w:szCs w:val="20"/>
        </w:rPr>
        <w:t xml:space="preserve"> to </w:t>
      </w:r>
      <w:r w:rsidR="003E5E5C">
        <w:rPr>
          <w:rFonts w:ascii="Arial" w:hAnsi="Arial"/>
          <w:sz w:val="20"/>
          <w:szCs w:val="20"/>
        </w:rPr>
        <w:t xml:space="preserve">RUB </w:t>
      </w:r>
      <w:r>
        <w:rPr>
          <w:rFonts w:ascii="Arial" w:hAnsi="Arial"/>
          <w:sz w:val="20"/>
          <w:szCs w:val="20"/>
        </w:rPr>
        <w:t xml:space="preserve">6,210 million. </w:t>
      </w:r>
    </w:p>
    <w:p w14:paraId="00595383" w14:textId="78CB1EA8" w:rsidR="00415971" w:rsidRDefault="008E6DD4">
      <w:pPr>
        <w:spacing w:before="240" w:after="0"/>
        <w:jc w:val="both"/>
        <w:rPr>
          <w:rFonts w:ascii="Arial" w:eastAsia="Arial" w:hAnsi="Arial" w:cs="Arial"/>
          <w:sz w:val="20"/>
          <w:szCs w:val="20"/>
        </w:rPr>
      </w:pPr>
      <w:r>
        <w:rPr>
          <w:rFonts w:ascii="Arial" w:hAnsi="Arial"/>
          <w:b/>
          <w:i/>
          <w:sz w:val="20"/>
          <w:szCs w:val="20"/>
        </w:rPr>
        <w:t>Gross profit margin</w:t>
      </w:r>
      <w:r>
        <w:rPr>
          <w:rFonts w:ascii="Arial" w:hAnsi="Arial"/>
          <w:sz w:val="20"/>
          <w:szCs w:val="20"/>
        </w:rPr>
        <w:t xml:space="preserve"> </w:t>
      </w:r>
      <w:r w:rsidR="00B55294" w:rsidRPr="006010AC">
        <w:rPr>
          <w:rFonts w:ascii="Arial" w:hAnsi="Arial" w:cs="Arial"/>
          <w:sz w:val="20"/>
          <w:szCs w:val="20"/>
        </w:rPr>
        <w:t>increased</w:t>
      </w:r>
      <w:r w:rsidR="00B55294" w:rsidRPr="006010AC" w:rsidDel="00B55294">
        <w:rPr>
          <w:rFonts w:ascii="Arial" w:hAnsi="Arial" w:cs="Arial"/>
          <w:sz w:val="20"/>
          <w:szCs w:val="20"/>
        </w:rPr>
        <w:t xml:space="preserve"> </w:t>
      </w:r>
      <w:r>
        <w:rPr>
          <w:rFonts w:ascii="Arial" w:hAnsi="Arial"/>
          <w:sz w:val="20"/>
          <w:szCs w:val="20"/>
        </w:rPr>
        <w:t>from 8.1% in 2020 to 19.8% in 2021</w:t>
      </w:r>
      <w:r w:rsidR="00FE4210">
        <w:rPr>
          <w:rFonts w:ascii="Arial" w:hAnsi="Arial"/>
          <w:sz w:val="20"/>
          <w:szCs w:val="20"/>
        </w:rPr>
        <w:t xml:space="preserve"> due </w:t>
      </w:r>
      <w:r>
        <w:rPr>
          <w:rFonts w:ascii="Arial" w:hAnsi="Arial"/>
          <w:sz w:val="20"/>
          <w:szCs w:val="20"/>
        </w:rPr>
        <w:t xml:space="preserve">to the reduction of the lease expenses and other cost items (all figures </w:t>
      </w:r>
      <w:r w:rsidR="00FE4210">
        <w:rPr>
          <w:rFonts w:ascii="Arial" w:hAnsi="Arial"/>
          <w:sz w:val="20"/>
          <w:szCs w:val="20"/>
        </w:rPr>
        <w:t>were</w:t>
      </w:r>
      <w:r>
        <w:rPr>
          <w:rFonts w:ascii="Arial" w:hAnsi="Arial"/>
          <w:sz w:val="20"/>
          <w:szCs w:val="20"/>
        </w:rPr>
        <w:t xml:space="preserve"> calculated </w:t>
      </w:r>
      <w:r w:rsidR="00DE718D">
        <w:rPr>
          <w:rFonts w:ascii="Arial" w:hAnsi="Arial"/>
          <w:sz w:val="20"/>
          <w:szCs w:val="20"/>
        </w:rPr>
        <w:t>as a percentage of the revenues</w:t>
      </w:r>
      <w:r>
        <w:rPr>
          <w:rFonts w:ascii="Arial" w:hAnsi="Arial"/>
          <w:sz w:val="20"/>
          <w:szCs w:val="20"/>
        </w:rPr>
        <w:t>).</w:t>
      </w:r>
    </w:p>
    <w:p w14:paraId="7DE566C8" w14:textId="2B773AB6" w:rsidR="00415971" w:rsidRDefault="00FE4210">
      <w:pPr>
        <w:spacing w:before="240" w:after="0"/>
        <w:jc w:val="both"/>
        <w:rPr>
          <w:rFonts w:ascii="Arial" w:eastAsia="Arial" w:hAnsi="Arial" w:cs="Arial"/>
          <w:sz w:val="20"/>
          <w:szCs w:val="20"/>
        </w:rPr>
      </w:pPr>
      <w:r>
        <w:rPr>
          <w:rFonts w:ascii="Arial" w:hAnsi="Arial"/>
          <w:sz w:val="20"/>
          <w:szCs w:val="20"/>
        </w:rPr>
        <w:t>In</w:t>
      </w:r>
      <w:r w:rsidR="008E6DD4">
        <w:rPr>
          <w:rFonts w:ascii="Arial" w:hAnsi="Arial"/>
          <w:sz w:val="20"/>
          <w:szCs w:val="20"/>
        </w:rPr>
        <w:t xml:space="preserve"> 2021, </w:t>
      </w:r>
      <w:r w:rsidR="008E6DD4">
        <w:rPr>
          <w:rFonts w:ascii="Arial" w:hAnsi="Arial"/>
          <w:b/>
          <w:i/>
          <w:sz w:val="20"/>
          <w:szCs w:val="20"/>
        </w:rPr>
        <w:t>food costs</w:t>
      </w:r>
      <w:r w:rsidR="008E6DD4">
        <w:rPr>
          <w:rFonts w:ascii="Arial" w:hAnsi="Arial"/>
          <w:b/>
          <w:sz w:val="20"/>
          <w:szCs w:val="20"/>
        </w:rPr>
        <w:t xml:space="preserve"> </w:t>
      </w:r>
      <w:r w:rsidR="008E6DD4">
        <w:rPr>
          <w:rFonts w:ascii="Arial" w:hAnsi="Arial"/>
          <w:sz w:val="20"/>
          <w:szCs w:val="20"/>
        </w:rPr>
        <w:t xml:space="preserve">insignificantly </w:t>
      </w:r>
      <w:r w:rsidR="00683762" w:rsidRPr="006010AC">
        <w:rPr>
          <w:rFonts w:ascii="Arial" w:hAnsi="Arial" w:cs="Arial"/>
          <w:sz w:val="20"/>
          <w:szCs w:val="20"/>
        </w:rPr>
        <w:t>increased</w:t>
      </w:r>
      <w:r w:rsidR="00683762" w:rsidRPr="006010AC" w:rsidDel="00B55294">
        <w:rPr>
          <w:rFonts w:ascii="Arial" w:hAnsi="Arial" w:cs="Arial"/>
          <w:sz w:val="20"/>
          <w:szCs w:val="20"/>
        </w:rPr>
        <w:t xml:space="preserve"> </w:t>
      </w:r>
      <w:r w:rsidR="00104D24">
        <w:rPr>
          <w:rFonts w:ascii="Arial" w:hAnsi="Arial"/>
          <w:sz w:val="20"/>
          <w:szCs w:val="20"/>
        </w:rPr>
        <w:t xml:space="preserve">by 0.9% compared to </w:t>
      </w:r>
      <w:r w:rsidR="008E6DD4">
        <w:rPr>
          <w:rFonts w:ascii="Arial" w:hAnsi="Arial"/>
          <w:sz w:val="20"/>
          <w:szCs w:val="20"/>
        </w:rPr>
        <w:t>2020</w:t>
      </w:r>
      <w:r w:rsidR="00104D24">
        <w:rPr>
          <w:rFonts w:ascii="Arial" w:hAnsi="Arial"/>
          <w:sz w:val="20"/>
          <w:szCs w:val="20"/>
        </w:rPr>
        <w:t xml:space="preserve"> </w:t>
      </w:r>
      <w:r w:rsidR="008E6DD4">
        <w:rPr>
          <w:rFonts w:ascii="Arial" w:hAnsi="Arial"/>
          <w:sz w:val="20"/>
          <w:szCs w:val="20"/>
        </w:rPr>
        <w:t xml:space="preserve">(as a percentage of the revenues) </w:t>
      </w:r>
      <w:r w:rsidR="00104D24">
        <w:rPr>
          <w:rFonts w:ascii="Arial" w:hAnsi="Arial"/>
          <w:sz w:val="20"/>
          <w:szCs w:val="20"/>
        </w:rPr>
        <w:t xml:space="preserve">due to </w:t>
      </w:r>
      <w:r w:rsidR="008E6DD4">
        <w:rPr>
          <w:rFonts w:ascii="Arial" w:hAnsi="Arial"/>
          <w:sz w:val="20"/>
          <w:szCs w:val="20"/>
        </w:rPr>
        <w:t xml:space="preserve">growing inflation and </w:t>
      </w:r>
      <w:r w:rsidR="00A213B3">
        <w:rPr>
          <w:rFonts w:ascii="Arial" w:hAnsi="Arial"/>
          <w:sz w:val="20"/>
          <w:szCs w:val="20"/>
        </w:rPr>
        <w:t>rising</w:t>
      </w:r>
      <w:r w:rsidR="00104D24">
        <w:rPr>
          <w:rFonts w:ascii="Arial" w:hAnsi="Arial"/>
          <w:sz w:val="20"/>
          <w:szCs w:val="20"/>
        </w:rPr>
        <w:t xml:space="preserve"> </w:t>
      </w:r>
      <w:r w:rsidR="008E6DD4">
        <w:rPr>
          <w:rFonts w:ascii="Arial" w:hAnsi="Arial"/>
          <w:sz w:val="20"/>
          <w:szCs w:val="20"/>
        </w:rPr>
        <w:t>food prices</w:t>
      </w:r>
      <w:r w:rsidR="00104D24">
        <w:rPr>
          <w:rFonts w:ascii="Arial" w:hAnsi="Arial"/>
          <w:sz w:val="20"/>
          <w:szCs w:val="20"/>
        </w:rPr>
        <w:t xml:space="preserve"> by 40%</w:t>
      </w:r>
      <w:r w:rsidR="008E6DD4">
        <w:rPr>
          <w:rFonts w:ascii="Arial" w:hAnsi="Arial"/>
          <w:sz w:val="20"/>
          <w:szCs w:val="20"/>
        </w:rPr>
        <w:t xml:space="preserve"> according to </w:t>
      </w:r>
      <w:r w:rsidR="00104D24">
        <w:rPr>
          <w:rFonts w:ascii="Arial" w:hAnsi="Arial"/>
          <w:sz w:val="20"/>
          <w:szCs w:val="20"/>
        </w:rPr>
        <w:t xml:space="preserve">the </w:t>
      </w:r>
      <w:r w:rsidR="008E6DD4">
        <w:rPr>
          <w:rFonts w:ascii="Arial" w:hAnsi="Arial"/>
          <w:sz w:val="20"/>
          <w:szCs w:val="20"/>
        </w:rPr>
        <w:t>analyst estimates.</w:t>
      </w:r>
      <w:bookmarkEnd w:id="4"/>
    </w:p>
    <w:p w14:paraId="64A50E93" w14:textId="363F4BDB" w:rsidR="00415971" w:rsidRDefault="008E6DD4">
      <w:pPr>
        <w:spacing w:before="240" w:after="0"/>
        <w:jc w:val="both"/>
        <w:rPr>
          <w:rFonts w:ascii="Arial" w:eastAsia="Arial" w:hAnsi="Arial" w:cs="Arial"/>
          <w:sz w:val="20"/>
          <w:szCs w:val="20"/>
        </w:rPr>
      </w:pPr>
      <w:bookmarkStart w:id="5" w:name="_Hlk101541641"/>
      <w:r>
        <w:rPr>
          <w:rFonts w:ascii="Arial" w:hAnsi="Arial"/>
          <w:b/>
          <w:i/>
          <w:sz w:val="20"/>
          <w:szCs w:val="20"/>
        </w:rPr>
        <w:t>Lease costs</w:t>
      </w:r>
      <w:r>
        <w:rPr>
          <w:rFonts w:ascii="Arial" w:hAnsi="Arial"/>
          <w:sz w:val="20"/>
          <w:szCs w:val="20"/>
        </w:rPr>
        <w:t xml:space="preserve"> decreased </w:t>
      </w:r>
      <w:r w:rsidR="00104D24">
        <w:rPr>
          <w:rFonts w:ascii="Arial" w:hAnsi="Arial"/>
          <w:sz w:val="20"/>
          <w:szCs w:val="20"/>
        </w:rPr>
        <w:t xml:space="preserve">by 2.7 % </w:t>
      </w:r>
      <w:r>
        <w:rPr>
          <w:rFonts w:ascii="Arial" w:hAnsi="Arial"/>
          <w:sz w:val="20"/>
          <w:szCs w:val="20"/>
        </w:rPr>
        <w:t>in 2021 to 24.7% of the revenues</w:t>
      </w:r>
      <w:r w:rsidR="00104D24">
        <w:rPr>
          <w:rFonts w:ascii="Arial" w:hAnsi="Arial"/>
          <w:sz w:val="20"/>
          <w:szCs w:val="20"/>
        </w:rPr>
        <w:t xml:space="preserve"> </w:t>
      </w:r>
      <w:r w:rsidR="00CD4A72">
        <w:rPr>
          <w:rFonts w:ascii="Arial" w:hAnsi="Arial"/>
          <w:sz w:val="20"/>
          <w:szCs w:val="20"/>
        </w:rPr>
        <w:t xml:space="preserve">due to the </w:t>
      </w:r>
      <w:r>
        <w:rPr>
          <w:rFonts w:ascii="Arial" w:hAnsi="Arial"/>
          <w:sz w:val="20"/>
          <w:szCs w:val="20"/>
        </w:rPr>
        <w:t>reduction of the rent rates negotiated with landlords.</w:t>
      </w:r>
      <w:bookmarkEnd w:id="5"/>
    </w:p>
    <w:p w14:paraId="2B2D18A9" w14:textId="4F4BA1C5" w:rsidR="00415971" w:rsidRDefault="008E6DD4">
      <w:pPr>
        <w:spacing w:before="240" w:after="0"/>
        <w:jc w:val="both"/>
        <w:rPr>
          <w:rFonts w:ascii="Arial" w:eastAsia="Arial" w:hAnsi="Arial" w:cs="Arial"/>
          <w:sz w:val="20"/>
          <w:szCs w:val="20"/>
        </w:rPr>
      </w:pPr>
      <w:r>
        <w:rPr>
          <w:rFonts w:ascii="Arial" w:hAnsi="Arial"/>
          <w:b/>
          <w:i/>
          <w:sz w:val="20"/>
          <w:szCs w:val="20"/>
        </w:rPr>
        <w:t>Selling, general and administrative expenses</w:t>
      </w:r>
      <w:r>
        <w:rPr>
          <w:rFonts w:ascii="Arial" w:hAnsi="Arial"/>
          <w:sz w:val="20"/>
          <w:szCs w:val="20"/>
        </w:rPr>
        <w:t xml:space="preserve"> </w:t>
      </w:r>
      <w:r w:rsidR="00683762" w:rsidRPr="006010AC">
        <w:rPr>
          <w:rFonts w:ascii="Arial" w:hAnsi="Arial" w:cs="Arial"/>
          <w:sz w:val="20"/>
          <w:szCs w:val="20"/>
        </w:rPr>
        <w:t>increased</w:t>
      </w:r>
      <w:r w:rsidR="00683762" w:rsidRPr="006010AC" w:rsidDel="00B55294">
        <w:rPr>
          <w:rFonts w:ascii="Arial" w:hAnsi="Arial" w:cs="Arial"/>
          <w:sz w:val="20"/>
          <w:szCs w:val="20"/>
        </w:rPr>
        <w:t xml:space="preserve"> </w:t>
      </w:r>
      <w:r>
        <w:rPr>
          <w:rFonts w:ascii="Arial" w:hAnsi="Arial"/>
          <w:sz w:val="20"/>
          <w:szCs w:val="20"/>
        </w:rPr>
        <w:t xml:space="preserve">in 2021 by 6.8% to </w:t>
      </w:r>
      <w:r w:rsidR="00FE4210">
        <w:rPr>
          <w:rFonts w:ascii="Arial" w:hAnsi="Arial"/>
          <w:sz w:val="20"/>
          <w:szCs w:val="20"/>
        </w:rPr>
        <w:t xml:space="preserve">RUB </w:t>
      </w:r>
      <w:r>
        <w:rPr>
          <w:rFonts w:ascii="Arial" w:hAnsi="Arial"/>
          <w:sz w:val="20"/>
          <w:szCs w:val="20"/>
        </w:rPr>
        <w:t>918 million, due to increase</w:t>
      </w:r>
      <w:r w:rsidR="000A5A1C">
        <w:rPr>
          <w:rFonts w:ascii="Arial" w:hAnsi="Arial"/>
          <w:sz w:val="20"/>
          <w:szCs w:val="20"/>
        </w:rPr>
        <w:t xml:space="preserve"> in</w:t>
      </w:r>
      <w:r>
        <w:rPr>
          <w:rFonts w:ascii="Arial" w:hAnsi="Arial"/>
          <w:sz w:val="20"/>
          <w:szCs w:val="20"/>
        </w:rPr>
        <w:t xml:space="preserve"> advertising and payroll costs after the restart of marketing activities and the reopening of the restaurants that had stayed closed during the pandemic. </w:t>
      </w:r>
    </w:p>
    <w:p w14:paraId="3A99EDCA" w14:textId="77777777" w:rsidR="00415971" w:rsidRDefault="008E6DD4">
      <w:pPr>
        <w:spacing w:before="240" w:after="0"/>
        <w:jc w:val="both"/>
        <w:rPr>
          <w:rFonts w:ascii="Arial" w:eastAsia="Arial" w:hAnsi="Arial" w:cs="Arial"/>
          <w:sz w:val="20"/>
          <w:szCs w:val="20"/>
        </w:rPr>
      </w:pPr>
      <w:r>
        <w:rPr>
          <w:rFonts w:ascii="Arial" w:hAnsi="Arial"/>
          <w:sz w:val="20"/>
          <w:szCs w:val="20"/>
        </w:rPr>
        <w:t xml:space="preserve">In 2021, </w:t>
      </w:r>
      <w:r>
        <w:rPr>
          <w:rFonts w:ascii="Arial" w:hAnsi="Arial"/>
          <w:b/>
          <w:i/>
          <w:sz w:val="20"/>
          <w:szCs w:val="20"/>
        </w:rPr>
        <w:t>restaurant start-up expenses</w:t>
      </w:r>
      <w:r>
        <w:rPr>
          <w:rFonts w:ascii="Arial" w:hAnsi="Arial"/>
          <w:sz w:val="20"/>
          <w:szCs w:val="20"/>
        </w:rPr>
        <w:t xml:space="preserve"> remained at the level of 2020 amounting to 1.1%. The figure is calculated as a percentage of the revenues.</w:t>
      </w:r>
    </w:p>
    <w:p w14:paraId="3E443A52" w14:textId="2389E39A" w:rsidR="00415971" w:rsidRDefault="008E6DD4">
      <w:pPr>
        <w:spacing w:before="240" w:after="0"/>
        <w:jc w:val="both"/>
        <w:rPr>
          <w:rFonts w:ascii="Arial" w:eastAsia="Arial" w:hAnsi="Arial" w:cs="Arial"/>
          <w:sz w:val="20"/>
          <w:szCs w:val="20"/>
        </w:rPr>
      </w:pPr>
      <w:r>
        <w:rPr>
          <w:rFonts w:ascii="Arial" w:hAnsi="Arial"/>
          <w:b/>
          <w:i/>
          <w:sz w:val="20"/>
          <w:szCs w:val="20"/>
        </w:rPr>
        <w:t>Other income</w:t>
      </w:r>
      <w:r>
        <w:rPr>
          <w:rFonts w:ascii="Arial" w:hAnsi="Arial"/>
          <w:sz w:val="20"/>
          <w:szCs w:val="20"/>
        </w:rPr>
        <w:t xml:space="preserve"> (adjusted to IAS 17) </w:t>
      </w:r>
      <w:r w:rsidR="00683762" w:rsidRPr="006010AC">
        <w:rPr>
          <w:rFonts w:ascii="Arial" w:hAnsi="Arial" w:cs="Arial"/>
          <w:sz w:val="20"/>
          <w:szCs w:val="20"/>
        </w:rPr>
        <w:t>increased</w:t>
      </w:r>
      <w:r>
        <w:rPr>
          <w:rFonts w:ascii="Arial" w:hAnsi="Arial"/>
          <w:sz w:val="20"/>
          <w:szCs w:val="20"/>
        </w:rPr>
        <w:t xml:space="preserve"> by 1.6% (calculated as a percentage of the revenues) due to the write-off of the debt under the concessional loan received from Promsvyazbank PJSC as part of the ongoing business support initiative. </w:t>
      </w:r>
    </w:p>
    <w:p w14:paraId="5A7E30C2" w14:textId="58CB1808" w:rsidR="00415971" w:rsidRDefault="008E6DD4">
      <w:pPr>
        <w:spacing w:before="240" w:after="0"/>
        <w:jc w:val="both"/>
        <w:rPr>
          <w:rFonts w:ascii="Arial" w:eastAsia="Arial" w:hAnsi="Arial" w:cs="Arial"/>
          <w:sz w:val="20"/>
          <w:szCs w:val="20"/>
        </w:rPr>
      </w:pPr>
      <w:r>
        <w:rPr>
          <w:rFonts w:ascii="Arial" w:hAnsi="Arial"/>
          <w:b/>
          <w:i/>
          <w:sz w:val="20"/>
          <w:szCs w:val="20"/>
        </w:rPr>
        <w:t>Other expenses</w:t>
      </w:r>
      <w:r>
        <w:rPr>
          <w:rFonts w:ascii="Arial" w:hAnsi="Arial"/>
          <w:sz w:val="20"/>
          <w:szCs w:val="20"/>
        </w:rPr>
        <w:t xml:space="preserve"> decreased </w:t>
      </w:r>
      <w:r w:rsidR="000A5A1C">
        <w:rPr>
          <w:rFonts w:ascii="Arial" w:hAnsi="Arial"/>
          <w:sz w:val="20"/>
          <w:szCs w:val="20"/>
        </w:rPr>
        <w:t xml:space="preserve">compared to </w:t>
      </w:r>
      <w:r>
        <w:rPr>
          <w:rFonts w:ascii="Arial" w:hAnsi="Arial"/>
          <w:sz w:val="20"/>
          <w:szCs w:val="20"/>
        </w:rPr>
        <w:t>2020 by 0.6% as a percentage of the revenues</w:t>
      </w:r>
      <w:r w:rsidR="000A5A1C">
        <w:rPr>
          <w:rFonts w:ascii="Arial" w:hAnsi="Arial"/>
          <w:sz w:val="20"/>
          <w:szCs w:val="20"/>
        </w:rPr>
        <w:t xml:space="preserve"> due to </w:t>
      </w:r>
      <w:r>
        <w:rPr>
          <w:rFonts w:ascii="Arial" w:hAnsi="Arial"/>
          <w:sz w:val="20"/>
          <w:szCs w:val="20"/>
        </w:rPr>
        <w:t>the reduction of loss from disposal of non-current assets.</w:t>
      </w:r>
    </w:p>
    <w:p w14:paraId="36215B91" w14:textId="33CA4F80" w:rsidR="00415971" w:rsidRDefault="000A5A1C">
      <w:pPr>
        <w:spacing w:before="240" w:after="0"/>
        <w:jc w:val="both"/>
        <w:rPr>
          <w:rFonts w:ascii="Arial" w:eastAsia="Arial" w:hAnsi="Arial" w:cs="Arial"/>
          <w:sz w:val="20"/>
          <w:szCs w:val="20"/>
        </w:rPr>
      </w:pPr>
      <w:r>
        <w:rPr>
          <w:rFonts w:ascii="Arial" w:hAnsi="Arial"/>
          <w:b/>
          <w:i/>
          <w:sz w:val="20"/>
          <w:szCs w:val="20"/>
        </w:rPr>
        <w:lastRenderedPageBreak/>
        <w:t>D</w:t>
      </w:r>
      <w:r w:rsidR="008E6DD4">
        <w:rPr>
          <w:rFonts w:ascii="Arial" w:hAnsi="Arial"/>
          <w:b/>
          <w:i/>
          <w:sz w:val="20"/>
          <w:szCs w:val="20"/>
        </w:rPr>
        <w:t>ecrease in</w:t>
      </w:r>
      <w:r w:rsidR="008E6DD4">
        <w:rPr>
          <w:rFonts w:ascii="Arial" w:hAnsi="Arial"/>
          <w:sz w:val="20"/>
          <w:szCs w:val="20"/>
        </w:rPr>
        <w:t xml:space="preserve"> </w:t>
      </w:r>
      <w:r w:rsidR="008E6DD4">
        <w:rPr>
          <w:rFonts w:ascii="Arial" w:hAnsi="Arial"/>
          <w:b/>
          <w:i/>
          <w:sz w:val="20"/>
          <w:szCs w:val="20"/>
        </w:rPr>
        <w:t>financial expenses (net)</w:t>
      </w:r>
      <w:r w:rsidR="008E6DD4">
        <w:rPr>
          <w:rFonts w:ascii="Arial" w:hAnsi="Arial"/>
          <w:sz w:val="20"/>
          <w:szCs w:val="20"/>
        </w:rPr>
        <w:t xml:space="preserve"> </w:t>
      </w:r>
      <w:r>
        <w:rPr>
          <w:rFonts w:ascii="Arial" w:hAnsi="Arial"/>
          <w:sz w:val="20"/>
          <w:szCs w:val="20"/>
        </w:rPr>
        <w:t>by 5.4% was due to</w:t>
      </w:r>
      <w:r w:rsidR="008E6DD4">
        <w:rPr>
          <w:rFonts w:ascii="Arial" w:hAnsi="Arial"/>
          <w:sz w:val="20"/>
          <w:szCs w:val="20"/>
        </w:rPr>
        <w:t xml:space="preserve"> the decrease in interest expenses </w:t>
      </w:r>
      <w:r>
        <w:rPr>
          <w:rFonts w:ascii="Arial" w:hAnsi="Arial"/>
          <w:sz w:val="20"/>
          <w:szCs w:val="20"/>
        </w:rPr>
        <w:t>due to the decrease</w:t>
      </w:r>
      <w:r w:rsidR="008E6DD4">
        <w:rPr>
          <w:rFonts w:ascii="Arial" w:hAnsi="Arial"/>
          <w:sz w:val="20"/>
          <w:szCs w:val="20"/>
        </w:rPr>
        <w:t xml:space="preserve"> of the interest rates on individual loans of the Group </w:t>
      </w:r>
      <w:r>
        <w:rPr>
          <w:rFonts w:ascii="Arial" w:hAnsi="Arial"/>
          <w:sz w:val="20"/>
          <w:szCs w:val="20"/>
        </w:rPr>
        <w:t>(</w:t>
      </w:r>
      <w:r w:rsidR="008E6DD4">
        <w:rPr>
          <w:rFonts w:ascii="Arial" w:hAnsi="Arial"/>
          <w:sz w:val="20"/>
          <w:szCs w:val="20"/>
        </w:rPr>
        <w:t xml:space="preserve">the figure </w:t>
      </w:r>
      <w:r>
        <w:rPr>
          <w:rFonts w:ascii="Arial" w:hAnsi="Arial"/>
          <w:sz w:val="20"/>
          <w:szCs w:val="20"/>
        </w:rPr>
        <w:t>was</w:t>
      </w:r>
      <w:r w:rsidR="008E6DD4">
        <w:rPr>
          <w:rFonts w:ascii="Arial" w:hAnsi="Arial"/>
          <w:sz w:val="20"/>
          <w:szCs w:val="20"/>
        </w:rPr>
        <w:t xml:space="preserve"> calculated as a percentage of the revenues</w:t>
      </w:r>
      <w:r>
        <w:rPr>
          <w:rFonts w:ascii="Arial" w:hAnsi="Arial"/>
          <w:sz w:val="20"/>
          <w:szCs w:val="20"/>
        </w:rPr>
        <w:t>)</w:t>
      </w:r>
      <w:r w:rsidR="008E6DD4">
        <w:rPr>
          <w:rFonts w:ascii="Arial" w:hAnsi="Arial"/>
          <w:sz w:val="20"/>
          <w:szCs w:val="20"/>
        </w:rPr>
        <w:t>.</w:t>
      </w:r>
    </w:p>
    <w:p w14:paraId="38C2A264" w14:textId="53A9A3FD" w:rsidR="00415971" w:rsidRDefault="008E6DD4">
      <w:pPr>
        <w:spacing w:before="240" w:after="0"/>
        <w:jc w:val="both"/>
        <w:rPr>
          <w:rFonts w:ascii="Arial" w:eastAsia="Arial" w:hAnsi="Arial" w:cs="Arial"/>
          <w:sz w:val="20"/>
          <w:szCs w:val="20"/>
        </w:rPr>
      </w:pPr>
      <w:r>
        <w:rPr>
          <w:rFonts w:ascii="Arial" w:hAnsi="Arial"/>
          <w:b/>
          <w:i/>
          <w:sz w:val="20"/>
          <w:szCs w:val="20"/>
        </w:rPr>
        <w:t>Exchange differences</w:t>
      </w:r>
      <w:r>
        <w:rPr>
          <w:rFonts w:ascii="Arial" w:hAnsi="Arial"/>
          <w:sz w:val="20"/>
          <w:szCs w:val="20"/>
        </w:rPr>
        <w:t xml:space="preserve"> </w:t>
      </w:r>
      <w:r w:rsidR="000A5A1C">
        <w:rPr>
          <w:rFonts w:ascii="Arial" w:hAnsi="Arial"/>
          <w:sz w:val="20"/>
          <w:szCs w:val="20"/>
        </w:rPr>
        <w:t>in 2021 increased</w:t>
      </w:r>
      <w:r>
        <w:rPr>
          <w:rFonts w:ascii="Arial" w:hAnsi="Arial"/>
          <w:sz w:val="20"/>
          <w:szCs w:val="20"/>
        </w:rPr>
        <w:t xml:space="preserve"> by 0.1% </w:t>
      </w:r>
      <w:r w:rsidR="000A5A1C">
        <w:rPr>
          <w:rFonts w:ascii="Arial" w:hAnsi="Arial"/>
          <w:sz w:val="20"/>
          <w:szCs w:val="20"/>
        </w:rPr>
        <w:t xml:space="preserve">compared to </w:t>
      </w:r>
      <w:r>
        <w:rPr>
          <w:rFonts w:ascii="Arial" w:hAnsi="Arial"/>
          <w:sz w:val="20"/>
          <w:szCs w:val="20"/>
        </w:rPr>
        <w:t>2020</w:t>
      </w:r>
      <w:r w:rsidR="000A5A1C">
        <w:rPr>
          <w:rFonts w:ascii="Arial" w:hAnsi="Arial"/>
          <w:sz w:val="20"/>
          <w:szCs w:val="20"/>
        </w:rPr>
        <w:t xml:space="preserve"> du</w:t>
      </w:r>
      <w:r>
        <w:rPr>
          <w:rFonts w:ascii="Arial" w:hAnsi="Arial"/>
          <w:sz w:val="20"/>
          <w:szCs w:val="20"/>
        </w:rPr>
        <w:t>e to the changes in the exchange rate of the rouble to other currencies</w:t>
      </w:r>
      <w:r w:rsidR="000A5A1C">
        <w:rPr>
          <w:rFonts w:ascii="Arial" w:hAnsi="Arial"/>
          <w:sz w:val="20"/>
          <w:szCs w:val="20"/>
        </w:rPr>
        <w:t xml:space="preserve"> (the figure was calculated as a percentage of the revenues)</w:t>
      </w:r>
      <w:r>
        <w:rPr>
          <w:rFonts w:ascii="Arial" w:hAnsi="Arial"/>
          <w:sz w:val="20"/>
          <w:szCs w:val="20"/>
        </w:rPr>
        <w:t>.</w:t>
      </w:r>
    </w:p>
    <w:p w14:paraId="1DDCB291" w14:textId="262CEADA" w:rsidR="00415971" w:rsidRDefault="00FE4210">
      <w:pPr>
        <w:spacing w:before="240" w:after="0"/>
        <w:jc w:val="both"/>
        <w:rPr>
          <w:rFonts w:ascii="Arial" w:eastAsia="Arial" w:hAnsi="Arial" w:cs="Arial"/>
          <w:sz w:val="20"/>
          <w:szCs w:val="20"/>
        </w:rPr>
      </w:pPr>
      <w:r>
        <w:rPr>
          <w:rFonts w:ascii="Arial" w:hAnsi="Arial"/>
          <w:b/>
          <w:i/>
          <w:sz w:val="20"/>
          <w:szCs w:val="20"/>
        </w:rPr>
        <w:t>Reversal of</w:t>
      </w:r>
      <w:r w:rsidR="008E6DD4">
        <w:rPr>
          <w:rFonts w:ascii="Arial" w:hAnsi="Arial"/>
          <w:b/>
          <w:i/>
          <w:sz w:val="20"/>
          <w:szCs w:val="20"/>
        </w:rPr>
        <w:t xml:space="preserve"> impairment of operating assets</w:t>
      </w:r>
      <w:r w:rsidR="008E6DD4">
        <w:rPr>
          <w:rFonts w:ascii="Arial" w:hAnsi="Arial"/>
          <w:sz w:val="20"/>
          <w:szCs w:val="20"/>
        </w:rPr>
        <w:t xml:space="preserve"> </w:t>
      </w:r>
      <w:r>
        <w:rPr>
          <w:rFonts w:ascii="Arial" w:hAnsi="Arial"/>
          <w:sz w:val="20"/>
          <w:szCs w:val="20"/>
        </w:rPr>
        <w:t xml:space="preserve">amounted </w:t>
      </w:r>
      <w:r w:rsidR="008E6DD4">
        <w:rPr>
          <w:rFonts w:ascii="Arial" w:hAnsi="Arial"/>
          <w:sz w:val="20"/>
          <w:szCs w:val="20"/>
        </w:rPr>
        <w:t xml:space="preserve">to </w:t>
      </w:r>
      <w:r>
        <w:rPr>
          <w:rFonts w:ascii="Arial" w:hAnsi="Arial"/>
          <w:sz w:val="20"/>
          <w:szCs w:val="20"/>
        </w:rPr>
        <w:t xml:space="preserve">RUB </w:t>
      </w:r>
      <w:r w:rsidR="008E6DD4">
        <w:rPr>
          <w:rFonts w:ascii="Arial" w:hAnsi="Arial"/>
          <w:sz w:val="20"/>
          <w:szCs w:val="20"/>
        </w:rPr>
        <w:t xml:space="preserve">20.9 million against loss of </w:t>
      </w:r>
      <w:r>
        <w:rPr>
          <w:rFonts w:ascii="Arial" w:hAnsi="Arial"/>
          <w:sz w:val="20"/>
          <w:szCs w:val="20"/>
        </w:rPr>
        <w:t xml:space="preserve">RUB </w:t>
      </w:r>
      <w:r w:rsidR="008E6DD4">
        <w:rPr>
          <w:rFonts w:ascii="Arial" w:hAnsi="Arial"/>
          <w:sz w:val="20"/>
          <w:szCs w:val="20"/>
        </w:rPr>
        <w:t>102.6 million in 2020</w:t>
      </w:r>
      <w:r>
        <w:rPr>
          <w:rFonts w:ascii="Arial" w:hAnsi="Arial"/>
          <w:sz w:val="20"/>
          <w:szCs w:val="20"/>
        </w:rPr>
        <w:t>, due</w:t>
      </w:r>
      <w:r w:rsidR="008E6DD4">
        <w:rPr>
          <w:rFonts w:ascii="Arial" w:hAnsi="Arial"/>
          <w:sz w:val="20"/>
          <w:szCs w:val="20"/>
        </w:rPr>
        <w:t xml:space="preserve"> to the recovery of </w:t>
      </w:r>
      <w:r>
        <w:rPr>
          <w:rFonts w:ascii="Arial" w:hAnsi="Arial"/>
          <w:sz w:val="20"/>
          <w:szCs w:val="20"/>
        </w:rPr>
        <w:t xml:space="preserve">impairment </w:t>
      </w:r>
      <w:r w:rsidR="008E6DD4">
        <w:rPr>
          <w:rFonts w:ascii="Arial" w:hAnsi="Arial"/>
          <w:sz w:val="20"/>
          <w:szCs w:val="20"/>
        </w:rPr>
        <w:t>in respect of closed restaurants and improved profitability forecasts for individual locations.</w:t>
      </w:r>
    </w:p>
    <w:p w14:paraId="36BB2F28" w14:textId="5B5E8454" w:rsidR="00415971" w:rsidRDefault="008E6DD4">
      <w:pPr>
        <w:spacing w:before="240" w:after="0"/>
        <w:jc w:val="both"/>
        <w:rPr>
          <w:rFonts w:ascii="Arial" w:eastAsia="Arial" w:hAnsi="Arial" w:cs="Arial"/>
          <w:sz w:val="20"/>
          <w:szCs w:val="20"/>
        </w:rPr>
      </w:pPr>
      <w:r>
        <w:rPr>
          <w:rFonts w:ascii="Arial" w:hAnsi="Arial"/>
          <w:b/>
          <w:i/>
          <w:sz w:val="20"/>
          <w:szCs w:val="20"/>
        </w:rPr>
        <w:t>Net profit</w:t>
      </w:r>
      <w:r>
        <w:rPr>
          <w:rFonts w:ascii="Arial" w:hAnsi="Arial"/>
          <w:sz w:val="20"/>
          <w:szCs w:val="20"/>
        </w:rPr>
        <w:t xml:space="preserve"> </w:t>
      </w:r>
      <w:r w:rsidR="00EA30E8">
        <w:rPr>
          <w:rFonts w:ascii="Arial" w:hAnsi="Arial"/>
          <w:sz w:val="20"/>
          <w:szCs w:val="20"/>
        </w:rPr>
        <w:t xml:space="preserve">in 2021 amounted </w:t>
      </w:r>
      <w:r>
        <w:rPr>
          <w:rFonts w:ascii="Arial" w:hAnsi="Arial"/>
          <w:sz w:val="20"/>
          <w:szCs w:val="20"/>
        </w:rPr>
        <w:t xml:space="preserve">to </w:t>
      </w:r>
      <w:r w:rsidR="00FE4210">
        <w:rPr>
          <w:rFonts w:ascii="Arial" w:hAnsi="Arial"/>
          <w:sz w:val="20"/>
          <w:szCs w:val="20"/>
        </w:rPr>
        <w:t xml:space="preserve">RUB </w:t>
      </w:r>
      <w:r>
        <w:rPr>
          <w:rFonts w:ascii="Arial" w:hAnsi="Arial"/>
          <w:sz w:val="20"/>
          <w:szCs w:val="20"/>
        </w:rPr>
        <w:t>18 million</w:t>
      </w:r>
      <w:r w:rsidR="00EA30E8">
        <w:rPr>
          <w:rFonts w:ascii="Arial" w:hAnsi="Arial"/>
          <w:sz w:val="20"/>
          <w:szCs w:val="20"/>
        </w:rPr>
        <w:t xml:space="preserve"> compared to </w:t>
      </w:r>
      <w:r>
        <w:rPr>
          <w:rFonts w:ascii="Arial" w:hAnsi="Arial"/>
          <w:sz w:val="20"/>
          <w:szCs w:val="20"/>
        </w:rPr>
        <w:t xml:space="preserve">loss of </w:t>
      </w:r>
      <w:r w:rsidR="00FE4210">
        <w:rPr>
          <w:rFonts w:ascii="Arial" w:hAnsi="Arial"/>
          <w:sz w:val="20"/>
          <w:szCs w:val="20"/>
        </w:rPr>
        <w:t xml:space="preserve">RUB </w:t>
      </w:r>
      <w:r>
        <w:rPr>
          <w:rFonts w:ascii="Arial" w:hAnsi="Arial"/>
          <w:sz w:val="20"/>
          <w:szCs w:val="20"/>
        </w:rPr>
        <w:t>1,106 million in 2020. The</w:t>
      </w:r>
      <w:r w:rsidR="00EA30E8">
        <w:rPr>
          <w:rFonts w:ascii="Arial" w:hAnsi="Arial"/>
          <w:sz w:val="20"/>
          <w:szCs w:val="20"/>
        </w:rPr>
        <w:t xml:space="preserve"> amount of</w:t>
      </w:r>
      <w:r>
        <w:rPr>
          <w:rFonts w:ascii="Arial" w:hAnsi="Arial"/>
          <w:sz w:val="20"/>
          <w:szCs w:val="20"/>
        </w:rPr>
        <w:t xml:space="preserve"> profit </w:t>
      </w:r>
      <w:r w:rsidR="00683762" w:rsidRPr="006010AC">
        <w:rPr>
          <w:rFonts w:ascii="Arial" w:hAnsi="Arial" w:cs="Arial"/>
          <w:sz w:val="20"/>
          <w:szCs w:val="20"/>
        </w:rPr>
        <w:t>increased</w:t>
      </w:r>
      <w:r w:rsidR="00683762" w:rsidRPr="006010AC" w:rsidDel="00B55294">
        <w:rPr>
          <w:rFonts w:ascii="Arial" w:hAnsi="Arial" w:cs="Arial"/>
          <w:sz w:val="20"/>
          <w:szCs w:val="20"/>
        </w:rPr>
        <w:t xml:space="preserve"> </w:t>
      </w:r>
      <w:r w:rsidR="00EA30E8">
        <w:rPr>
          <w:rFonts w:ascii="Arial" w:hAnsi="Arial"/>
          <w:sz w:val="20"/>
          <w:szCs w:val="20"/>
        </w:rPr>
        <w:t>by</w:t>
      </w:r>
      <w:r>
        <w:rPr>
          <w:rFonts w:ascii="Arial" w:hAnsi="Arial"/>
          <w:sz w:val="20"/>
          <w:szCs w:val="20"/>
        </w:rPr>
        <w:t xml:space="preserve"> the revenues</w:t>
      </w:r>
      <w:r w:rsidR="00EA30E8">
        <w:rPr>
          <w:rFonts w:ascii="Arial" w:hAnsi="Arial"/>
          <w:sz w:val="20"/>
          <w:szCs w:val="20"/>
        </w:rPr>
        <w:t xml:space="preserve"> growth</w:t>
      </w:r>
      <w:r>
        <w:rPr>
          <w:rFonts w:ascii="Arial" w:hAnsi="Arial"/>
          <w:sz w:val="20"/>
          <w:szCs w:val="20"/>
        </w:rPr>
        <w:t xml:space="preserve"> and the review of estimates concerning useful life of certain fixed asset groups.</w:t>
      </w:r>
    </w:p>
    <w:p w14:paraId="460CDA23" w14:textId="63ACEEAD" w:rsidR="00415971" w:rsidRDefault="008E6DD4">
      <w:pPr>
        <w:spacing w:before="240" w:after="0"/>
        <w:jc w:val="both"/>
        <w:rPr>
          <w:rFonts w:ascii="Arial" w:eastAsia="Arial" w:hAnsi="Arial" w:cs="Arial"/>
          <w:sz w:val="20"/>
          <w:szCs w:val="20"/>
        </w:rPr>
      </w:pPr>
      <w:bookmarkStart w:id="6" w:name="_Hlk101541660"/>
      <w:r>
        <w:rPr>
          <w:rFonts w:ascii="Arial" w:hAnsi="Arial"/>
          <w:b/>
          <w:i/>
          <w:sz w:val="20"/>
          <w:szCs w:val="20"/>
        </w:rPr>
        <w:t>EBITDA before impairment and write-offs</w:t>
      </w:r>
      <w:r>
        <w:rPr>
          <w:rFonts w:ascii="Arial" w:hAnsi="Arial"/>
          <w:sz w:val="20"/>
          <w:szCs w:val="20"/>
        </w:rPr>
        <w:t xml:space="preserve"> in 2021 </w:t>
      </w:r>
      <w:r w:rsidR="00FE4210">
        <w:rPr>
          <w:rFonts w:ascii="Arial" w:hAnsi="Arial"/>
          <w:sz w:val="20"/>
          <w:szCs w:val="20"/>
        </w:rPr>
        <w:t xml:space="preserve">amounted </w:t>
      </w:r>
      <w:r>
        <w:rPr>
          <w:rFonts w:ascii="Arial" w:hAnsi="Arial"/>
          <w:sz w:val="20"/>
          <w:szCs w:val="20"/>
        </w:rPr>
        <w:t xml:space="preserve">to </w:t>
      </w:r>
      <w:r w:rsidR="00FE4210">
        <w:rPr>
          <w:rFonts w:ascii="Arial" w:hAnsi="Arial"/>
          <w:sz w:val="20"/>
          <w:szCs w:val="20"/>
        </w:rPr>
        <w:t xml:space="preserve">RUB </w:t>
      </w:r>
      <w:r>
        <w:rPr>
          <w:rFonts w:ascii="Arial" w:hAnsi="Arial"/>
          <w:sz w:val="20"/>
          <w:szCs w:val="20"/>
        </w:rPr>
        <w:t xml:space="preserve">661 million </w:t>
      </w:r>
      <w:r w:rsidR="00EA30E8">
        <w:rPr>
          <w:rFonts w:ascii="Arial" w:hAnsi="Arial"/>
          <w:sz w:val="20"/>
          <w:szCs w:val="20"/>
        </w:rPr>
        <w:t xml:space="preserve">compared to </w:t>
      </w:r>
      <w:r w:rsidR="00FE4210">
        <w:rPr>
          <w:rFonts w:ascii="Arial" w:hAnsi="Arial"/>
          <w:sz w:val="20"/>
          <w:szCs w:val="20"/>
        </w:rPr>
        <w:t xml:space="preserve">RUB </w:t>
      </w:r>
      <w:r>
        <w:rPr>
          <w:rFonts w:ascii="Arial" w:hAnsi="Arial"/>
          <w:sz w:val="20"/>
          <w:szCs w:val="20"/>
        </w:rPr>
        <w:t>0.3 million</w:t>
      </w:r>
      <w:r w:rsidR="00FE4210">
        <w:rPr>
          <w:rFonts w:ascii="Arial" w:hAnsi="Arial"/>
          <w:sz w:val="20"/>
          <w:szCs w:val="20"/>
        </w:rPr>
        <w:t xml:space="preserve"> </w:t>
      </w:r>
      <w:r>
        <w:rPr>
          <w:rFonts w:ascii="Arial" w:hAnsi="Arial"/>
          <w:sz w:val="20"/>
          <w:szCs w:val="20"/>
        </w:rPr>
        <w:t xml:space="preserve">in 2020.   </w:t>
      </w:r>
      <w:bookmarkEnd w:id="6"/>
    </w:p>
    <w:p w14:paraId="76194AED" w14:textId="77777777" w:rsidR="00415971" w:rsidRPr="00DE718D" w:rsidRDefault="00415971">
      <w:pPr>
        <w:pStyle w:val="a7"/>
        <w:jc w:val="both"/>
        <w:rPr>
          <w:i/>
          <w:iCs/>
          <w:color w:val="808080"/>
          <w:sz w:val="16"/>
          <w:szCs w:val="16"/>
          <w:u w:color="808080"/>
          <w:lang w:val="en-US"/>
        </w:rPr>
      </w:pPr>
    </w:p>
    <w:p w14:paraId="435C5A9C" w14:textId="77777777" w:rsidR="00415971" w:rsidRPr="00DE718D" w:rsidRDefault="00415971">
      <w:pPr>
        <w:pStyle w:val="a7"/>
        <w:jc w:val="both"/>
        <w:rPr>
          <w:i/>
          <w:iCs/>
          <w:color w:val="808080"/>
          <w:sz w:val="16"/>
          <w:szCs w:val="16"/>
          <w:u w:color="808080"/>
          <w:lang w:val="en-US"/>
        </w:rPr>
      </w:pPr>
    </w:p>
    <w:p w14:paraId="490CFDE5" w14:textId="77777777" w:rsidR="00415971" w:rsidRPr="00DE718D" w:rsidRDefault="00415971">
      <w:pPr>
        <w:pStyle w:val="a7"/>
        <w:jc w:val="both"/>
        <w:rPr>
          <w:i/>
          <w:iCs/>
          <w:color w:val="808080"/>
          <w:sz w:val="16"/>
          <w:szCs w:val="16"/>
          <w:u w:color="808080"/>
          <w:lang w:val="en-US"/>
        </w:rPr>
      </w:pPr>
    </w:p>
    <w:p w14:paraId="12751143" w14:textId="77777777" w:rsidR="00415971" w:rsidRPr="00DE718D" w:rsidRDefault="00415971">
      <w:pPr>
        <w:pStyle w:val="a7"/>
        <w:jc w:val="both"/>
        <w:rPr>
          <w:i/>
          <w:iCs/>
          <w:color w:val="808080"/>
          <w:sz w:val="16"/>
          <w:szCs w:val="16"/>
          <w:u w:color="808080"/>
          <w:lang w:val="en-US"/>
        </w:rPr>
      </w:pPr>
    </w:p>
    <w:p w14:paraId="3023ED5D" w14:textId="77777777" w:rsidR="00415971" w:rsidRDefault="008E6DD4">
      <w:pPr>
        <w:pStyle w:val="a7"/>
        <w:jc w:val="both"/>
        <w:rPr>
          <w:i/>
          <w:iCs/>
          <w:color w:val="808080"/>
          <w:sz w:val="16"/>
          <w:szCs w:val="16"/>
          <w:u w:color="808080"/>
        </w:rPr>
      </w:pPr>
      <w:r>
        <w:rPr>
          <w:i/>
          <w:iCs/>
          <w:color w:val="808080"/>
          <w:sz w:val="16"/>
          <w:szCs w:val="16"/>
          <w:u w:color="808080"/>
        </w:rPr>
        <w:t>____________________________________________________________________________________________________________</w:t>
      </w:r>
    </w:p>
    <w:p w14:paraId="6D55E133" w14:textId="77777777" w:rsidR="00415971" w:rsidRPr="00DE718D" w:rsidRDefault="00415971">
      <w:pPr>
        <w:pStyle w:val="a7"/>
        <w:jc w:val="both"/>
        <w:rPr>
          <w:i/>
          <w:iCs/>
          <w:color w:val="808080"/>
          <w:sz w:val="16"/>
          <w:szCs w:val="16"/>
          <w:u w:color="808080"/>
          <w:lang w:val="en-US"/>
        </w:rPr>
      </w:pPr>
    </w:p>
    <w:p w14:paraId="12AD4842" w14:textId="2836C6A5" w:rsidR="00415971" w:rsidRDefault="008E6DD4">
      <w:pPr>
        <w:pStyle w:val="a7"/>
        <w:jc w:val="both"/>
        <w:rPr>
          <w:i/>
          <w:iCs/>
          <w:color w:val="808080"/>
          <w:sz w:val="16"/>
          <w:szCs w:val="16"/>
          <w:u w:color="808080"/>
        </w:rPr>
      </w:pPr>
      <w:r>
        <w:rPr>
          <w:i/>
          <w:iCs/>
          <w:color w:val="808080"/>
          <w:sz w:val="16"/>
          <w:szCs w:val="16"/>
          <w:u w:color="808080"/>
          <w:vertAlign w:val="superscript"/>
        </w:rPr>
        <w:t>[1]</w:t>
      </w:r>
      <w:r>
        <w:rPr>
          <w:i/>
          <w:iCs/>
          <w:color w:val="808080"/>
          <w:sz w:val="16"/>
          <w:szCs w:val="16"/>
          <w:u w:color="808080"/>
        </w:rPr>
        <w:t xml:space="preserve"> Revenue in accordance with IFRS is the consolidated revenue of the Rosinter Group calculated in accordance with international financial reporting standards (net of VAT) and includes sales of restaurants and corporate cafes, as well as revenue from sublease premises, revenue from franchising operations and other components.</w:t>
      </w:r>
    </w:p>
    <w:p w14:paraId="1CB9C0A7" w14:textId="77777777" w:rsidR="00415971" w:rsidRPr="00DE718D" w:rsidRDefault="00415971">
      <w:pPr>
        <w:pStyle w:val="a7"/>
        <w:jc w:val="both"/>
        <w:rPr>
          <w:i/>
          <w:iCs/>
          <w:color w:val="808080"/>
          <w:sz w:val="16"/>
          <w:szCs w:val="16"/>
          <w:u w:color="808080"/>
          <w:lang w:val="en-US"/>
        </w:rPr>
      </w:pPr>
    </w:p>
    <w:p w14:paraId="1D2094BF" w14:textId="77777777" w:rsidR="00415971" w:rsidRDefault="008E6DD4">
      <w:pPr>
        <w:spacing w:after="0" w:line="240" w:lineRule="auto"/>
        <w:jc w:val="both"/>
        <w:rPr>
          <w:rFonts w:ascii="Arial" w:eastAsia="Arial" w:hAnsi="Arial" w:cs="Arial"/>
          <w:i/>
          <w:iCs/>
          <w:color w:val="808080"/>
          <w:sz w:val="16"/>
          <w:szCs w:val="16"/>
          <w:u w:color="808080"/>
        </w:rPr>
      </w:pPr>
      <w:r>
        <w:rPr>
          <w:rFonts w:ascii="Arial" w:hAnsi="Arial"/>
          <w:i/>
          <w:iCs/>
          <w:color w:val="808080"/>
          <w:sz w:val="16"/>
          <w:szCs w:val="16"/>
          <w:u w:color="808080"/>
          <w:vertAlign w:val="superscript"/>
        </w:rPr>
        <w:t>[2]</w:t>
      </w:r>
      <w:r>
        <w:rPr>
          <w:rFonts w:ascii="Arial" w:hAnsi="Arial"/>
          <w:i/>
          <w:iCs/>
          <w:color w:val="808080"/>
          <w:sz w:val="16"/>
          <w:szCs w:val="16"/>
          <w:u w:color="808080"/>
        </w:rPr>
        <w:t xml:space="preserve"> EBITDA is calculated by adding back depreciation and amortization to profit from operating activities after impairment. EBITDA measures are not standard measures under IFRS and should not be considered as an alternative to the net profit, operating profit, operating cash flows or any other standard measures in accordance with IFRS. Our approach to calculating EBITDA may differ from the approach of other companies. </w:t>
      </w:r>
    </w:p>
    <w:p w14:paraId="05F72135" w14:textId="77777777" w:rsidR="00415971" w:rsidRDefault="00415971">
      <w:pPr>
        <w:spacing w:after="0" w:line="240" w:lineRule="auto"/>
        <w:jc w:val="both"/>
        <w:rPr>
          <w:rFonts w:ascii="Arial" w:eastAsia="Arial" w:hAnsi="Arial" w:cs="Arial"/>
          <w:i/>
          <w:iCs/>
          <w:color w:val="808080"/>
          <w:sz w:val="16"/>
          <w:szCs w:val="16"/>
          <w:u w:color="808080"/>
        </w:rPr>
      </w:pPr>
    </w:p>
    <w:p w14:paraId="74C19C1B" w14:textId="77777777" w:rsidR="00415971" w:rsidRDefault="008E6DD4">
      <w:pPr>
        <w:spacing w:after="0" w:line="240" w:lineRule="auto"/>
        <w:jc w:val="both"/>
        <w:rPr>
          <w:rFonts w:ascii="Arial" w:eastAsia="Arial" w:hAnsi="Arial" w:cs="Arial"/>
          <w:i/>
          <w:iCs/>
          <w:color w:val="808080"/>
          <w:sz w:val="16"/>
          <w:szCs w:val="16"/>
          <w:u w:color="808080"/>
        </w:rPr>
      </w:pPr>
      <w:r>
        <w:rPr>
          <w:rFonts w:ascii="Arial" w:hAnsi="Arial"/>
          <w:i/>
          <w:iCs/>
          <w:color w:val="808080"/>
          <w:sz w:val="16"/>
          <w:szCs w:val="16"/>
          <w:u w:color="808080"/>
          <w:vertAlign w:val="superscript"/>
        </w:rPr>
        <w:t xml:space="preserve">[3] </w:t>
      </w:r>
      <w:r>
        <w:rPr>
          <w:rFonts w:ascii="Arial" w:hAnsi="Arial"/>
          <w:i/>
          <w:iCs/>
          <w:color w:val="808080"/>
          <w:sz w:val="16"/>
          <w:szCs w:val="16"/>
          <w:u w:color="808080"/>
        </w:rPr>
        <w:t>Adjusted figures are financial indicators adjusted to the effect of new IFRS 16 on the accounting for operating leases.</w:t>
      </w:r>
    </w:p>
    <w:p w14:paraId="428EBE4E" w14:textId="77777777" w:rsidR="00415971" w:rsidRDefault="00415971">
      <w:pPr>
        <w:spacing w:after="0" w:line="240" w:lineRule="auto"/>
        <w:jc w:val="both"/>
        <w:rPr>
          <w:rFonts w:ascii="Arial" w:eastAsia="Arial" w:hAnsi="Arial" w:cs="Arial"/>
          <w:i/>
          <w:iCs/>
          <w:color w:val="808080"/>
          <w:sz w:val="16"/>
          <w:szCs w:val="16"/>
          <w:u w:color="808080"/>
        </w:rPr>
      </w:pPr>
    </w:p>
    <w:p w14:paraId="792791F8" w14:textId="77777777" w:rsidR="00415971" w:rsidRDefault="00415971">
      <w:pPr>
        <w:spacing w:after="0" w:line="240" w:lineRule="auto"/>
        <w:jc w:val="both"/>
        <w:rPr>
          <w:rFonts w:ascii="Arial" w:eastAsia="Arial" w:hAnsi="Arial" w:cs="Arial"/>
          <w:i/>
          <w:iCs/>
          <w:color w:val="808080"/>
          <w:sz w:val="16"/>
          <w:szCs w:val="16"/>
          <w:u w:color="808080"/>
        </w:rPr>
      </w:pPr>
    </w:p>
    <w:p w14:paraId="7E17DCEA" w14:textId="77777777" w:rsidR="00415971" w:rsidRDefault="008E6DD4">
      <w:pPr>
        <w:jc w:val="both"/>
        <w:rPr>
          <w:rFonts w:ascii="Arial" w:eastAsia="Arial" w:hAnsi="Arial" w:cs="Arial"/>
          <w:color w:val="808080"/>
          <w:sz w:val="18"/>
          <w:szCs w:val="18"/>
          <w:u w:color="808080"/>
        </w:rPr>
      </w:pPr>
      <w:r>
        <w:rPr>
          <w:rFonts w:ascii="Arial" w:hAnsi="Arial"/>
          <w:color w:val="808080"/>
          <w:sz w:val="18"/>
          <w:szCs w:val="18"/>
          <w:u w:color="808080"/>
        </w:rPr>
        <w:t>Information in this press release is based on "forward-looking statements", which include all statements other than statements of historical fact. Such forward-looking statements can be often identified by words such as “plans”, “believes”, “anticipates”, “expects”, “intends”, “estimates”, “will”, “may”, “required”, “should” and similar expressions. Such forward-looking statements involve known and unknown risks, uncertainties and other important factors beyond the Company's and/or its Management's control that could cause the actual results to be materially different from those expressed or implied by such forward-looking statements. Such forward-looking statements are based on numerous assumptions regarding the Company's present and future business strategies and the environment in which the Company will operate in the future. By their nature, forward-looking statements involve risks and uncertainties because they relate to events and depend on circumstances that may or may not occur in the future. These forward-looking statements speak only as at the date as of which they are made, and the Company and/or its Management does not intend and has no duty or obligation to supplement, amend, update or revise any of the forward-looking statements contained herein to reflect any change in events, conditions or circumstances on which any such statements are based. The information and opinions contained in this press release are only valid as at the date hereof and may be subsequently revised without notice of any kind and form.</w:t>
      </w:r>
    </w:p>
    <w:p w14:paraId="7482E6BB" w14:textId="77777777" w:rsidR="00415971" w:rsidRDefault="008E6DD4">
      <w:pPr>
        <w:spacing w:before="120" w:after="120" w:line="240" w:lineRule="auto"/>
        <w:jc w:val="center"/>
        <w:rPr>
          <w:rFonts w:ascii="Arial" w:eastAsia="Arial" w:hAnsi="Arial" w:cs="Arial"/>
          <w:color w:val="595959"/>
          <w:u w:color="595959"/>
        </w:rPr>
      </w:pPr>
      <w:r>
        <w:rPr>
          <w:rFonts w:ascii="Arial" w:hAnsi="Arial"/>
          <w:color w:val="595959"/>
          <w:u w:color="595959"/>
        </w:rPr>
        <w:t>*</w:t>
      </w:r>
      <w:r>
        <w:rPr>
          <w:rFonts w:ascii="Arial" w:hAnsi="Arial"/>
          <w:color w:val="595959"/>
          <w:u w:color="595959"/>
        </w:rPr>
        <w:tab/>
      </w:r>
      <w:r>
        <w:rPr>
          <w:rFonts w:ascii="Arial" w:hAnsi="Arial"/>
          <w:color w:val="595959"/>
          <w:u w:color="595959"/>
        </w:rPr>
        <w:tab/>
        <w:t>*</w:t>
      </w:r>
      <w:r>
        <w:rPr>
          <w:rFonts w:ascii="Arial" w:hAnsi="Arial"/>
          <w:color w:val="595959"/>
          <w:u w:color="595959"/>
        </w:rPr>
        <w:tab/>
      </w:r>
      <w:r>
        <w:rPr>
          <w:rFonts w:ascii="Arial" w:hAnsi="Arial"/>
          <w:color w:val="595959"/>
          <w:u w:color="595959"/>
        </w:rPr>
        <w:tab/>
        <w:t>*</w:t>
      </w:r>
    </w:p>
    <w:tbl>
      <w:tblPr>
        <w:tblStyle w:val="TableNormal1"/>
        <w:tblW w:w="1004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59"/>
        <w:gridCol w:w="4683"/>
      </w:tblGrid>
      <w:tr w:rsidR="00415971" w14:paraId="0867C59A" w14:textId="77777777">
        <w:trPr>
          <w:trHeight w:val="1553"/>
          <w:jc w:val="center"/>
        </w:trPr>
        <w:tc>
          <w:tcPr>
            <w:tcW w:w="5359" w:type="dxa"/>
            <w:tcBorders>
              <w:top w:val="nil"/>
              <w:left w:val="nil"/>
              <w:bottom w:val="nil"/>
              <w:right w:val="nil"/>
            </w:tcBorders>
            <w:shd w:val="clear" w:color="auto" w:fill="auto"/>
            <w:tcMar>
              <w:top w:w="80" w:type="dxa"/>
              <w:left w:w="80" w:type="dxa"/>
              <w:bottom w:w="80" w:type="dxa"/>
              <w:right w:w="80" w:type="dxa"/>
            </w:tcMar>
          </w:tcPr>
          <w:p w14:paraId="5CDA7929" w14:textId="5B2DC295" w:rsidR="00415971" w:rsidRDefault="008E6DD4">
            <w:pPr>
              <w:spacing w:after="0" w:line="240" w:lineRule="auto"/>
              <w:rPr>
                <w:rFonts w:ascii="Arial" w:eastAsia="Arial" w:hAnsi="Arial" w:cs="Arial"/>
                <w:color w:val="595959"/>
                <w:sz w:val="20"/>
                <w:szCs w:val="20"/>
                <w:u w:color="595959"/>
              </w:rPr>
            </w:pPr>
            <w:r>
              <w:rPr>
                <w:rFonts w:ascii="Arial" w:hAnsi="Arial"/>
                <w:b/>
                <w:bCs/>
                <w:color w:val="595959"/>
                <w:sz w:val="20"/>
                <w:szCs w:val="20"/>
                <w:u w:color="595959"/>
              </w:rPr>
              <w:t>Investors and analysts enquiries:</w:t>
            </w:r>
            <w:r>
              <w:rPr>
                <w:rFonts w:ascii="Arial" w:hAnsi="Arial"/>
                <w:color w:val="5F5F5F"/>
                <w:sz w:val="20"/>
                <w:szCs w:val="20"/>
                <w:u w:color="5F5F5F"/>
              </w:rPr>
              <w:t xml:space="preserve"> </w:t>
            </w:r>
          </w:p>
          <w:p w14:paraId="44670305" w14:textId="77777777" w:rsidR="00415971" w:rsidRDefault="00415971">
            <w:pPr>
              <w:spacing w:after="0" w:line="240" w:lineRule="auto"/>
              <w:rPr>
                <w:rFonts w:ascii="Arial" w:eastAsia="Arial" w:hAnsi="Arial" w:cs="Arial"/>
                <w:color w:val="5F5F5F"/>
                <w:sz w:val="20"/>
                <w:szCs w:val="20"/>
                <w:u w:color="5F5F5F"/>
              </w:rPr>
            </w:pPr>
          </w:p>
          <w:p w14:paraId="3EEBAA96" w14:textId="77777777" w:rsidR="00415971" w:rsidRDefault="008E6DD4">
            <w:pPr>
              <w:spacing w:after="0" w:line="240" w:lineRule="auto"/>
              <w:rPr>
                <w:rFonts w:ascii="Arial" w:eastAsia="Arial" w:hAnsi="Arial" w:cs="Arial"/>
                <w:color w:val="595959"/>
                <w:sz w:val="20"/>
                <w:szCs w:val="20"/>
                <w:u w:color="595959"/>
              </w:rPr>
            </w:pPr>
            <w:r>
              <w:rPr>
                <w:rFonts w:ascii="Arial" w:hAnsi="Arial"/>
                <w:b/>
                <w:bCs/>
                <w:color w:val="595959"/>
                <w:sz w:val="20"/>
                <w:szCs w:val="20"/>
                <w:u w:color="595959"/>
              </w:rPr>
              <w:t>Alexey Shorokhov</w:t>
            </w:r>
          </w:p>
          <w:p w14:paraId="71FC192D" w14:textId="77777777" w:rsidR="00415971" w:rsidRDefault="008E6DD4">
            <w:pPr>
              <w:spacing w:after="0" w:line="240" w:lineRule="auto"/>
              <w:rPr>
                <w:rFonts w:ascii="Arial" w:eastAsia="Arial" w:hAnsi="Arial" w:cs="Arial"/>
                <w:color w:val="5F5F5F"/>
                <w:sz w:val="20"/>
                <w:szCs w:val="20"/>
                <w:u w:color="5F5F5F"/>
              </w:rPr>
            </w:pPr>
            <w:r>
              <w:rPr>
                <w:rFonts w:ascii="Arial" w:hAnsi="Arial"/>
                <w:color w:val="595959"/>
                <w:sz w:val="20"/>
                <w:szCs w:val="20"/>
                <w:u w:color="595959"/>
              </w:rPr>
              <w:t>CFO</w:t>
            </w:r>
          </w:p>
          <w:p w14:paraId="6F5EC7A2" w14:textId="77777777" w:rsidR="00415971" w:rsidRDefault="00415971">
            <w:pPr>
              <w:spacing w:after="0" w:line="240" w:lineRule="auto"/>
              <w:rPr>
                <w:rFonts w:ascii="Arial" w:eastAsia="Arial" w:hAnsi="Arial" w:cs="Arial"/>
                <w:b/>
                <w:bCs/>
                <w:color w:val="5F5F5F"/>
                <w:sz w:val="20"/>
                <w:szCs w:val="20"/>
                <w:u w:color="5F5F5F"/>
              </w:rPr>
            </w:pPr>
          </w:p>
          <w:p w14:paraId="221D8E76" w14:textId="77777777" w:rsidR="00415971" w:rsidRDefault="008E6DD4">
            <w:pPr>
              <w:spacing w:after="0" w:line="240" w:lineRule="auto"/>
            </w:pPr>
            <w:r>
              <w:rPr>
                <w:rFonts w:ascii="Arial" w:hAnsi="Arial"/>
                <w:color w:val="5F5F5F"/>
                <w:sz w:val="20"/>
                <w:szCs w:val="20"/>
                <w:u w:color="5F5F5F"/>
              </w:rPr>
              <w:t>IR@rosinter.ru</w:t>
            </w:r>
          </w:p>
        </w:tc>
        <w:tc>
          <w:tcPr>
            <w:tcW w:w="4683" w:type="dxa"/>
            <w:tcBorders>
              <w:top w:val="nil"/>
              <w:left w:val="nil"/>
              <w:bottom w:val="nil"/>
              <w:right w:val="nil"/>
            </w:tcBorders>
            <w:shd w:val="clear" w:color="auto" w:fill="auto"/>
            <w:tcMar>
              <w:top w:w="80" w:type="dxa"/>
              <w:left w:w="80" w:type="dxa"/>
              <w:bottom w:w="80" w:type="dxa"/>
              <w:right w:w="80" w:type="dxa"/>
            </w:tcMar>
          </w:tcPr>
          <w:p w14:paraId="62EEFB0A" w14:textId="77777777" w:rsidR="00415971" w:rsidRPr="00DE718D" w:rsidRDefault="008E6DD4">
            <w:pPr>
              <w:spacing w:after="0" w:line="240" w:lineRule="auto"/>
              <w:jc w:val="right"/>
              <w:rPr>
                <w:rFonts w:ascii="Arial" w:eastAsia="Arial" w:hAnsi="Arial" w:cs="Arial"/>
                <w:color w:val="5F5F5F"/>
                <w:sz w:val="20"/>
                <w:szCs w:val="20"/>
                <w:u w:color="5F5F5F"/>
                <w:lang w:val="fr-FR"/>
              </w:rPr>
            </w:pPr>
            <w:r w:rsidRPr="00DE718D">
              <w:rPr>
                <w:rFonts w:ascii="Arial" w:hAnsi="Arial"/>
                <w:b/>
                <w:color w:val="5F5F5F"/>
                <w:sz w:val="20"/>
                <w:szCs w:val="20"/>
                <w:u w:color="5F5F5F"/>
                <w:lang w:val="fr-FR"/>
              </w:rPr>
              <w:t>Press enquiries:</w:t>
            </w:r>
          </w:p>
          <w:p w14:paraId="052194FD" w14:textId="77777777" w:rsidR="00415971" w:rsidRPr="00DE718D" w:rsidRDefault="00415971">
            <w:pPr>
              <w:spacing w:after="0" w:line="240" w:lineRule="auto"/>
              <w:jc w:val="right"/>
              <w:rPr>
                <w:rFonts w:ascii="Arial" w:eastAsia="Arial" w:hAnsi="Arial" w:cs="Arial"/>
                <w:color w:val="5F5F5F"/>
                <w:sz w:val="20"/>
                <w:szCs w:val="20"/>
                <w:u w:color="5F5F5F"/>
                <w:lang w:val="fr-FR"/>
              </w:rPr>
            </w:pPr>
          </w:p>
          <w:p w14:paraId="745D6607" w14:textId="77777777" w:rsidR="00415971" w:rsidRPr="00DE718D" w:rsidRDefault="008E6DD4">
            <w:pPr>
              <w:spacing w:after="0" w:line="240" w:lineRule="auto"/>
              <w:jc w:val="right"/>
              <w:rPr>
                <w:rFonts w:ascii="Arial" w:eastAsia="Arial" w:hAnsi="Arial" w:cs="Arial"/>
                <w:b/>
                <w:bCs/>
                <w:color w:val="5F5F5F"/>
                <w:sz w:val="20"/>
                <w:szCs w:val="20"/>
                <w:u w:color="5F5F5F"/>
                <w:lang w:val="fr-FR"/>
              </w:rPr>
            </w:pPr>
            <w:r w:rsidRPr="00DE718D">
              <w:rPr>
                <w:rFonts w:ascii="Arial" w:hAnsi="Arial"/>
                <w:b/>
                <w:bCs/>
                <w:color w:val="5F5F5F"/>
                <w:sz w:val="20"/>
                <w:szCs w:val="20"/>
                <w:u w:color="5F5F5F"/>
                <w:lang w:val="fr-FR"/>
              </w:rPr>
              <w:t xml:space="preserve">Tatyana Zotova </w:t>
            </w:r>
          </w:p>
          <w:p w14:paraId="3E201C9E" w14:textId="77777777" w:rsidR="00415971" w:rsidRPr="00DE718D" w:rsidRDefault="008E6DD4">
            <w:pPr>
              <w:spacing w:after="0" w:line="240" w:lineRule="auto"/>
              <w:jc w:val="right"/>
              <w:rPr>
                <w:rFonts w:ascii="Arial" w:eastAsia="Arial" w:hAnsi="Arial" w:cs="Arial"/>
                <w:b/>
                <w:bCs/>
                <w:color w:val="5F5F5F"/>
                <w:sz w:val="20"/>
                <w:szCs w:val="20"/>
                <w:u w:color="5F5F5F"/>
                <w:lang w:val="fr-FR"/>
              </w:rPr>
            </w:pPr>
            <w:r w:rsidRPr="00DE718D">
              <w:rPr>
                <w:rFonts w:ascii="Arial" w:hAnsi="Arial"/>
                <w:color w:val="595959"/>
                <w:sz w:val="20"/>
                <w:szCs w:val="20"/>
                <w:u w:color="595959"/>
                <w:lang w:val="fr-FR"/>
              </w:rPr>
              <w:t>PR Director</w:t>
            </w:r>
          </w:p>
          <w:p w14:paraId="70F6BFD3" w14:textId="77777777" w:rsidR="00415971" w:rsidRPr="00DE718D" w:rsidRDefault="00415971">
            <w:pPr>
              <w:spacing w:after="0" w:line="240" w:lineRule="auto"/>
              <w:jc w:val="right"/>
              <w:rPr>
                <w:rFonts w:ascii="Arial" w:eastAsia="Arial" w:hAnsi="Arial" w:cs="Arial"/>
                <w:color w:val="5F5F5F"/>
                <w:sz w:val="20"/>
                <w:szCs w:val="20"/>
                <w:u w:color="5F5F5F"/>
                <w:lang w:val="fr-FR"/>
              </w:rPr>
            </w:pPr>
          </w:p>
          <w:p w14:paraId="4529E71B" w14:textId="77777777" w:rsidR="00415971" w:rsidRPr="00DE718D" w:rsidRDefault="008E6DD4">
            <w:pPr>
              <w:spacing w:after="0" w:line="240" w:lineRule="auto"/>
              <w:jc w:val="right"/>
              <w:rPr>
                <w:rFonts w:ascii="Arial" w:eastAsia="Arial" w:hAnsi="Arial" w:cs="Arial"/>
                <w:color w:val="5F5F5F"/>
                <w:sz w:val="20"/>
                <w:szCs w:val="20"/>
                <w:u w:color="5F5F5F"/>
                <w:lang w:val="fr-FR"/>
              </w:rPr>
            </w:pPr>
            <w:r w:rsidRPr="00DE718D">
              <w:rPr>
                <w:rFonts w:ascii="Arial" w:hAnsi="Arial"/>
                <w:color w:val="5F5F5F"/>
                <w:sz w:val="20"/>
                <w:szCs w:val="20"/>
                <w:u w:color="5F5F5F"/>
                <w:lang w:val="fr-FR"/>
              </w:rPr>
              <w:t xml:space="preserve">tzotova@rosinter.ru </w:t>
            </w:r>
          </w:p>
          <w:p w14:paraId="7393CE8C" w14:textId="77777777" w:rsidR="00415971" w:rsidRDefault="008E6DD4">
            <w:pPr>
              <w:spacing w:after="0" w:line="240" w:lineRule="auto"/>
              <w:jc w:val="right"/>
            </w:pPr>
            <w:r>
              <w:rPr>
                <w:rFonts w:ascii="Arial" w:hAnsi="Arial"/>
                <w:color w:val="5F5F5F"/>
                <w:sz w:val="20"/>
                <w:szCs w:val="20"/>
                <w:u w:color="5F5F5F"/>
              </w:rPr>
              <w:t>Tel: +7 495 788 44 88 ext. 1560</w:t>
            </w:r>
          </w:p>
        </w:tc>
      </w:tr>
    </w:tbl>
    <w:p w14:paraId="1014586D" w14:textId="77777777" w:rsidR="00415971" w:rsidRPr="00A61FDB" w:rsidRDefault="00415971">
      <w:pPr>
        <w:widowControl w:val="0"/>
        <w:spacing w:before="120" w:after="120" w:line="240" w:lineRule="auto"/>
        <w:jc w:val="center"/>
        <w:rPr>
          <w:rFonts w:ascii="Arial" w:eastAsia="Arial" w:hAnsi="Arial" w:cs="Arial"/>
          <w:color w:val="595959"/>
          <w:u w:color="595959"/>
        </w:rPr>
      </w:pPr>
    </w:p>
    <w:p w14:paraId="7790F8E7" w14:textId="77777777" w:rsidR="00415971" w:rsidRDefault="00415971">
      <w:pPr>
        <w:spacing w:after="0" w:line="240" w:lineRule="auto"/>
        <w:rPr>
          <w:rFonts w:ascii="Arial" w:eastAsia="Arial" w:hAnsi="Arial" w:cs="Arial"/>
          <w:b/>
          <w:bCs/>
          <w:color w:val="595959"/>
          <w:sz w:val="20"/>
          <w:szCs w:val="20"/>
          <w:u w:val="single" w:color="595959"/>
        </w:rPr>
      </w:pPr>
    </w:p>
    <w:p w14:paraId="7CAB55C8" w14:textId="29404CC5" w:rsidR="00415971" w:rsidRDefault="008E6DD4">
      <w:pPr>
        <w:spacing w:after="0" w:line="240" w:lineRule="auto"/>
        <w:rPr>
          <w:rFonts w:ascii="Arial" w:eastAsia="Arial" w:hAnsi="Arial" w:cs="Arial"/>
          <w:color w:val="808080"/>
          <w:sz w:val="18"/>
          <w:szCs w:val="18"/>
          <w:u w:color="808080"/>
        </w:rPr>
      </w:pPr>
      <w:r>
        <w:rPr>
          <w:rFonts w:ascii="Arial" w:hAnsi="Arial"/>
          <w:b/>
          <w:bCs/>
          <w:color w:val="595959"/>
          <w:sz w:val="20"/>
          <w:szCs w:val="20"/>
          <w:u w:val="single" w:color="595959"/>
        </w:rPr>
        <w:t xml:space="preserve">Company profile: </w:t>
      </w:r>
    </w:p>
    <w:p w14:paraId="5FC30C5D" w14:textId="77777777" w:rsidR="00DB0CF3" w:rsidRPr="00864595" w:rsidRDefault="00DB0CF3" w:rsidP="00DB0CF3">
      <w:pPr>
        <w:autoSpaceDE w:val="0"/>
        <w:autoSpaceDN w:val="0"/>
        <w:adjustRightInd w:val="0"/>
        <w:ind w:left="-284"/>
        <w:rPr>
          <w:rFonts w:cs="Arial"/>
          <w:color w:val="808080"/>
          <w:sz w:val="18"/>
          <w:szCs w:val="18"/>
        </w:rPr>
      </w:pPr>
    </w:p>
    <w:p w14:paraId="58BE38F4" w14:textId="48C727D8" w:rsidR="00DB0CF3" w:rsidRPr="00DB0CF3" w:rsidRDefault="00DB0CF3" w:rsidP="00DB0CF3">
      <w:pPr>
        <w:ind w:left="-284"/>
        <w:jc w:val="both"/>
        <w:rPr>
          <w:rFonts w:ascii="Arial" w:hAnsi="Arial" w:cs="Arial"/>
          <w:iCs/>
          <w:color w:val="595959"/>
          <w:sz w:val="18"/>
          <w:szCs w:val="18"/>
        </w:rPr>
      </w:pPr>
      <w:r>
        <w:rPr>
          <w:rFonts w:ascii="Arial" w:hAnsi="Arial"/>
          <w:iCs/>
          <w:color w:val="595959"/>
          <w:sz w:val="18"/>
          <w:szCs w:val="18"/>
        </w:rPr>
        <w:lastRenderedPageBreak/>
        <w:t>As at 31 December 2021, Rosinter Restaurants Holding PJSC is a major casual dining restaurant operator in Russia, running 222 retail outlets in 30 cities of Russia, the CIS and Central Europe, including the Baltic States. The chain comprises 128 corporate restaurants and 94 franchised restaurants and cafes.  The company develops its own brands IL Patio, Sushi Planet,</w:t>
      </w:r>
      <w:r w:rsidR="00906DAA">
        <w:rPr>
          <w:rFonts w:ascii="Arial" w:hAnsi="Arial"/>
          <w:iCs/>
          <w:color w:val="595959"/>
          <w:sz w:val="18"/>
          <w:szCs w:val="18"/>
        </w:rPr>
        <w:t xml:space="preserve"> </w:t>
      </w:r>
      <w:r>
        <w:rPr>
          <w:rFonts w:ascii="Arial" w:hAnsi="Arial"/>
          <w:iCs/>
          <w:color w:val="595959"/>
          <w:sz w:val="18"/>
          <w:szCs w:val="18"/>
        </w:rPr>
        <w:t>Shikari, American Bar &amp; Grill, and Mama Russia, and also operates under franchise agreements a chain of American restaurants</w:t>
      </w:r>
      <w:r w:rsidR="00906DAA">
        <w:rPr>
          <w:rFonts w:ascii="Arial" w:hAnsi="Arial"/>
          <w:iCs/>
          <w:color w:val="595959"/>
          <w:sz w:val="18"/>
          <w:szCs w:val="18"/>
        </w:rPr>
        <w:t xml:space="preserve"> </w:t>
      </w:r>
      <w:r>
        <w:rPr>
          <w:rFonts w:ascii="Arial" w:hAnsi="Arial"/>
          <w:iCs/>
          <w:color w:val="595959"/>
          <w:sz w:val="18"/>
          <w:szCs w:val="18"/>
        </w:rPr>
        <w:t xml:space="preserve">TGI FRIDAYSTM and a chain of British Costa Coffee shops. In March 2012, Razvitie ROST LLC (the Company’s subsidiary) acquired the right to develop McDonald's fast food chain on a franchise basis at railway stations and airports of Moscow and Saint Petersburg. </w:t>
      </w:r>
    </w:p>
    <w:p w14:paraId="46CD7386" w14:textId="77777777" w:rsidR="00DB0CF3" w:rsidRPr="00DB0CF3" w:rsidRDefault="00DB0CF3" w:rsidP="00DB0CF3">
      <w:pPr>
        <w:pStyle w:val="Default"/>
        <w:ind w:left="-284"/>
        <w:jc w:val="both"/>
        <w:rPr>
          <w:rFonts w:eastAsia="Calibri"/>
          <w:color w:val="595959"/>
          <w:sz w:val="18"/>
          <w:szCs w:val="18"/>
        </w:rPr>
      </w:pPr>
      <w:r>
        <w:rPr>
          <w:color w:val="595959"/>
          <w:sz w:val="18"/>
          <w:szCs w:val="18"/>
        </w:rPr>
        <w:t xml:space="preserve">Rosinter Restaurants Holding is listed on the Moscow Exchange MICEX (www.moex.com) under the stock ticker ROST. </w:t>
      </w:r>
    </w:p>
    <w:p w14:paraId="52D5B811" w14:textId="77777777" w:rsidR="00DB0CF3" w:rsidRPr="00DB0CF3" w:rsidRDefault="00DB0CF3" w:rsidP="00DB0CF3">
      <w:pPr>
        <w:autoSpaceDE w:val="0"/>
        <w:autoSpaceDN w:val="0"/>
        <w:ind w:left="-284"/>
        <w:jc w:val="both"/>
        <w:rPr>
          <w:rFonts w:ascii="Arial" w:hAnsi="Arial" w:cs="Arial"/>
          <w:iCs/>
          <w:color w:val="595959"/>
          <w:sz w:val="18"/>
          <w:szCs w:val="18"/>
          <w:lang w:eastAsia="en-US"/>
        </w:rPr>
      </w:pPr>
    </w:p>
    <w:p w14:paraId="6C033C97" w14:textId="77777777" w:rsidR="00DB0CF3" w:rsidRPr="00DB0CF3" w:rsidRDefault="00DB0CF3" w:rsidP="00DB0CF3">
      <w:pPr>
        <w:autoSpaceDE w:val="0"/>
        <w:autoSpaceDN w:val="0"/>
        <w:ind w:left="-284"/>
        <w:jc w:val="both"/>
        <w:rPr>
          <w:rFonts w:ascii="Arial" w:hAnsi="Arial" w:cs="Arial"/>
          <w:bCs/>
          <w:color w:val="808080"/>
          <w:sz w:val="18"/>
          <w:szCs w:val="18"/>
        </w:rPr>
      </w:pPr>
      <w:r>
        <w:rPr>
          <w:rFonts w:ascii="Arial" w:hAnsi="Arial"/>
          <w:iCs/>
          <w:color w:val="595959"/>
          <w:sz w:val="18"/>
          <w:szCs w:val="18"/>
        </w:rPr>
        <w:t>Company Website</w:t>
      </w:r>
      <w:r>
        <w:rPr>
          <w:rFonts w:ascii="Arial" w:hAnsi="Arial"/>
          <w:bCs/>
          <w:color w:val="808080"/>
          <w:sz w:val="18"/>
          <w:szCs w:val="18"/>
        </w:rPr>
        <w:t xml:space="preserve">: </w:t>
      </w:r>
      <w:hyperlink r:id="rId9" w:history="1">
        <w:r>
          <w:rPr>
            <w:rFonts w:ascii="Arial" w:hAnsi="Arial"/>
            <w:bCs/>
            <w:color w:val="0000FF"/>
            <w:sz w:val="18"/>
            <w:szCs w:val="18"/>
            <w:u w:val="single"/>
          </w:rPr>
          <w:t>www.rosinter.ru</w:t>
        </w:r>
      </w:hyperlink>
      <w:r>
        <w:rPr>
          <w:rFonts w:ascii="Arial" w:hAnsi="Arial"/>
          <w:bCs/>
          <w:color w:val="808080"/>
          <w:sz w:val="18"/>
          <w:szCs w:val="18"/>
        </w:rPr>
        <w:t xml:space="preserve"> </w:t>
      </w:r>
    </w:p>
    <w:p w14:paraId="5406D2BD" w14:textId="77777777" w:rsidR="00415971" w:rsidRDefault="008E6DD4">
      <w:pPr>
        <w:spacing w:after="0" w:line="240" w:lineRule="auto"/>
      </w:pPr>
      <w:r>
        <w:br w:type="page"/>
      </w:r>
    </w:p>
    <w:p w14:paraId="24CF8AE2" w14:textId="77777777" w:rsidR="00415971" w:rsidRDefault="008E6DD4">
      <w:pPr>
        <w:spacing w:after="20"/>
        <w:rPr>
          <w:rFonts w:ascii="Arial" w:eastAsia="Arial" w:hAnsi="Arial" w:cs="Arial"/>
          <w:b/>
          <w:bCs/>
          <w:sz w:val="20"/>
          <w:szCs w:val="20"/>
        </w:rPr>
      </w:pPr>
      <w:r>
        <w:rPr>
          <w:rFonts w:ascii="Arial" w:hAnsi="Arial"/>
          <w:b/>
          <w:bCs/>
          <w:sz w:val="20"/>
          <w:szCs w:val="20"/>
        </w:rPr>
        <w:lastRenderedPageBreak/>
        <w:t>APPENDIX 1</w:t>
      </w:r>
    </w:p>
    <w:p w14:paraId="490FBAFF" w14:textId="77777777" w:rsidR="00415971" w:rsidRDefault="00415971">
      <w:pPr>
        <w:spacing w:after="20"/>
        <w:rPr>
          <w:rFonts w:ascii="Arial" w:eastAsia="Arial" w:hAnsi="Arial" w:cs="Arial"/>
          <w:b/>
          <w:bCs/>
          <w:sz w:val="20"/>
          <w:szCs w:val="20"/>
        </w:rPr>
      </w:pPr>
    </w:p>
    <w:p w14:paraId="7B8599A2" w14:textId="0AB3A2FA" w:rsidR="00415971" w:rsidRDefault="008E6DD4">
      <w:pPr>
        <w:pStyle w:val="ZX1CompanyName12"/>
        <w:jc w:val="center"/>
        <w:rPr>
          <w:i/>
          <w:iCs/>
          <w:sz w:val="12"/>
          <w:szCs w:val="12"/>
        </w:rPr>
      </w:pPr>
      <w:bookmarkStart w:id="7" w:name="OLE_LINK1"/>
      <w:r>
        <w:rPr>
          <w:rFonts w:ascii="Times New Roman" w:hAnsi="Times New Roman"/>
          <w:b w:val="0"/>
          <w:bCs w:val="0"/>
          <w:caps w:val="0"/>
          <w:sz w:val="28"/>
          <w:szCs w:val="28"/>
        </w:rPr>
        <w:t>Consolidated statement of financial position as of 31 December 2021</w:t>
      </w:r>
    </w:p>
    <w:p w14:paraId="4F63C341" w14:textId="77777777" w:rsidR="00415971" w:rsidRDefault="00415971">
      <w:pPr>
        <w:spacing w:after="0" w:line="240" w:lineRule="auto"/>
        <w:jc w:val="center"/>
        <w:rPr>
          <w:rFonts w:ascii="Times New Roman" w:eastAsia="Times New Roman" w:hAnsi="Times New Roman" w:cs="Times New Roman"/>
          <w:i/>
          <w:iCs/>
          <w:sz w:val="12"/>
          <w:szCs w:val="12"/>
        </w:rPr>
      </w:pPr>
    </w:p>
    <w:p w14:paraId="41466191" w14:textId="77777777" w:rsidR="00415971" w:rsidRDefault="008E6DD4">
      <w:pPr>
        <w:spacing w:after="0" w:line="240" w:lineRule="auto"/>
        <w:jc w:val="center"/>
        <w:rPr>
          <w:rFonts w:ascii="Times New Roman" w:eastAsia="Times New Roman" w:hAnsi="Times New Roman" w:cs="Times New Roman"/>
          <w:i/>
          <w:iCs/>
        </w:rPr>
      </w:pPr>
      <w:r>
        <w:rPr>
          <w:rFonts w:ascii="Times New Roman" w:hAnsi="Times New Roman"/>
          <w:i/>
          <w:iCs/>
        </w:rPr>
        <w:t>(All amounts are in thousands of Russian roubles unless specified otherwise)</w:t>
      </w:r>
    </w:p>
    <w:bookmarkEnd w:id="7"/>
    <w:p w14:paraId="4419C00E" w14:textId="77777777" w:rsidR="00415971" w:rsidRDefault="00415971">
      <w:pPr>
        <w:spacing w:after="0" w:line="240" w:lineRule="auto"/>
        <w:jc w:val="center"/>
        <w:rPr>
          <w:rFonts w:ascii="Times New Roman" w:eastAsia="Times New Roman" w:hAnsi="Times New Roman" w:cs="Times New Roman"/>
          <w:i/>
          <w:iCs/>
          <w:sz w:val="12"/>
          <w:szCs w:val="12"/>
        </w:rPr>
      </w:pPr>
    </w:p>
    <w:p w14:paraId="2AE9C4C2" w14:textId="1B507358" w:rsidR="00415971" w:rsidRDefault="00951BD2">
      <w:pPr>
        <w:spacing w:after="0" w:line="240" w:lineRule="auto"/>
        <w:jc w:val="both"/>
        <w:rPr>
          <w:rFonts w:ascii="Arial" w:eastAsia="Arial" w:hAnsi="Arial" w:cs="Arial"/>
          <w:color w:val="808080"/>
          <w:sz w:val="18"/>
          <w:szCs w:val="18"/>
          <w:u w:color="808080"/>
        </w:rPr>
      </w:pPr>
      <w:r w:rsidRPr="00951BD2">
        <w:rPr>
          <w:noProof/>
          <w:lang w:val="ru-RU"/>
        </w:rPr>
        <w:drawing>
          <wp:inline distT="0" distB="0" distL="0" distR="0" wp14:anchorId="22F6DBB0" wp14:editId="2398A8F3">
            <wp:extent cx="6296025" cy="739877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96025" cy="7398772"/>
                    </a:xfrm>
                    <a:prstGeom prst="rect">
                      <a:avLst/>
                    </a:prstGeom>
                    <a:noFill/>
                    <a:ln>
                      <a:noFill/>
                    </a:ln>
                  </pic:spPr>
                </pic:pic>
              </a:graphicData>
            </a:graphic>
          </wp:inline>
        </w:drawing>
      </w:r>
    </w:p>
    <w:p w14:paraId="652E20FD" w14:textId="77777777" w:rsidR="00415971" w:rsidRDefault="00415971">
      <w:pPr>
        <w:spacing w:after="0" w:line="240" w:lineRule="auto"/>
        <w:jc w:val="both"/>
        <w:rPr>
          <w:rFonts w:ascii="Arial" w:eastAsia="Arial" w:hAnsi="Arial" w:cs="Arial"/>
          <w:color w:val="808080"/>
          <w:sz w:val="18"/>
          <w:szCs w:val="18"/>
          <w:u w:color="808080"/>
        </w:rPr>
      </w:pPr>
    </w:p>
    <w:p w14:paraId="2F79016E" w14:textId="77777777" w:rsidR="001258A4" w:rsidRDefault="001258A4">
      <w:pPr>
        <w:spacing w:after="0" w:line="240" w:lineRule="auto"/>
        <w:jc w:val="both"/>
        <w:rPr>
          <w:rFonts w:ascii="Arial" w:eastAsia="Arial" w:hAnsi="Arial" w:cs="Arial"/>
          <w:color w:val="808080"/>
          <w:sz w:val="18"/>
          <w:szCs w:val="18"/>
          <w:u w:color="808080"/>
        </w:rPr>
      </w:pPr>
    </w:p>
    <w:p w14:paraId="5038AE3B" w14:textId="77777777" w:rsidR="001258A4" w:rsidRDefault="001258A4">
      <w:pPr>
        <w:spacing w:after="0" w:line="240" w:lineRule="auto"/>
        <w:jc w:val="both"/>
        <w:rPr>
          <w:rFonts w:ascii="Arial" w:eastAsia="Arial" w:hAnsi="Arial" w:cs="Arial"/>
          <w:color w:val="808080"/>
          <w:sz w:val="18"/>
          <w:szCs w:val="18"/>
          <w:u w:color="808080"/>
        </w:rPr>
      </w:pPr>
    </w:p>
    <w:p w14:paraId="2980DC09" w14:textId="77777777" w:rsidR="001258A4" w:rsidRPr="001258A4" w:rsidRDefault="001258A4">
      <w:pPr>
        <w:spacing w:after="0" w:line="240" w:lineRule="auto"/>
        <w:jc w:val="both"/>
        <w:rPr>
          <w:rFonts w:ascii="Arial" w:eastAsia="Arial" w:hAnsi="Arial" w:cs="Arial"/>
          <w:color w:val="808080"/>
          <w:sz w:val="18"/>
          <w:szCs w:val="18"/>
          <w:u w:color="808080"/>
        </w:rPr>
      </w:pPr>
    </w:p>
    <w:p w14:paraId="35B473EF" w14:textId="77777777" w:rsidR="00415971" w:rsidRDefault="00415971">
      <w:pPr>
        <w:spacing w:after="0" w:line="240" w:lineRule="auto"/>
        <w:jc w:val="both"/>
        <w:rPr>
          <w:rFonts w:ascii="Arial" w:eastAsia="Arial" w:hAnsi="Arial" w:cs="Arial"/>
          <w:color w:val="808080"/>
          <w:sz w:val="18"/>
          <w:szCs w:val="18"/>
          <w:u w:color="808080"/>
          <w:lang w:val="en-US"/>
        </w:rPr>
      </w:pPr>
    </w:p>
    <w:p w14:paraId="4DF2EBE7" w14:textId="77777777" w:rsidR="00DE718D" w:rsidRDefault="00DE718D">
      <w:pPr>
        <w:spacing w:after="0" w:line="240" w:lineRule="auto"/>
        <w:rPr>
          <w:rFonts w:ascii="Times New Roman" w:eastAsia="Arial" w:hAnsi="Times New Roman" w:cs="Arial"/>
          <w:sz w:val="28"/>
          <w:szCs w:val="28"/>
        </w:rPr>
      </w:pPr>
      <w:r>
        <w:rPr>
          <w:rFonts w:ascii="Times New Roman" w:hAnsi="Times New Roman"/>
          <w:b/>
          <w:bCs/>
          <w:caps/>
          <w:sz w:val="28"/>
          <w:szCs w:val="28"/>
        </w:rPr>
        <w:br w:type="page"/>
      </w:r>
    </w:p>
    <w:p w14:paraId="66D0727C" w14:textId="02C15552" w:rsidR="00415971" w:rsidRDefault="008E6DD4">
      <w:pPr>
        <w:pStyle w:val="ZX1CompanyName12"/>
        <w:spacing w:before="120"/>
        <w:jc w:val="center"/>
        <w:rPr>
          <w:rFonts w:ascii="Times New Roman" w:eastAsia="Times New Roman" w:hAnsi="Times New Roman" w:cs="Times New Roman"/>
          <w:b w:val="0"/>
          <w:bCs w:val="0"/>
          <w:caps w:val="0"/>
          <w:sz w:val="28"/>
          <w:szCs w:val="28"/>
        </w:rPr>
      </w:pPr>
      <w:r>
        <w:rPr>
          <w:rFonts w:ascii="Times New Roman" w:hAnsi="Times New Roman"/>
          <w:b w:val="0"/>
          <w:bCs w:val="0"/>
          <w:caps w:val="0"/>
          <w:sz w:val="28"/>
          <w:szCs w:val="28"/>
        </w:rPr>
        <w:lastRenderedPageBreak/>
        <w:t>Consolidated statement of profit or loss for the year ended 31 December 2021</w:t>
      </w:r>
    </w:p>
    <w:p w14:paraId="65C4F701" w14:textId="77777777" w:rsidR="00415971" w:rsidRDefault="00415971">
      <w:pPr>
        <w:spacing w:after="0" w:line="240" w:lineRule="auto"/>
        <w:jc w:val="center"/>
        <w:rPr>
          <w:rFonts w:ascii="Times New Roman" w:eastAsia="Times New Roman" w:hAnsi="Times New Roman" w:cs="Times New Roman"/>
          <w:b/>
          <w:bCs/>
          <w:caps/>
          <w:sz w:val="16"/>
          <w:szCs w:val="16"/>
        </w:rPr>
      </w:pPr>
    </w:p>
    <w:p w14:paraId="5044DA26" w14:textId="77777777" w:rsidR="00415971" w:rsidRDefault="008E6DD4">
      <w:pPr>
        <w:spacing w:after="0" w:line="240" w:lineRule="auto"/>
        <w:jc w:val="center"/>
        <w:rPr>
          <w:rFonts w:ascii="Times New Roman" w:eastAsia="Times New Roman" w:hAnsi="Times New Roman" w:cs="Times New Roman"/>
          <w:i/>
          <w:iCs/>
        </w:rPr>
      </w:pPr>
      <w:r>
        <w:rPr>
          <w:rFonts w:ascii="Times New Roman" w:hAnsi="Times New Roman"/>
          <w:i/>
          <w:iCs/>
        </w:rPr>
        <w:t>(All amounts are in thousands of Russian roubles unless specified otherwise)</w:t>
      </w:r>
    </w:p>
    <w:p w14:paraId="7C71B626" w14:textId="77777777" w:rsidR="00415971" w:rsidRDefault="00415971">
      <w:pPr>
        <w:tabs>
          <w:tab w:val="left" w:pos="2127"/>
          <w:tab w:val="decimal" w:pos="6804"/>
          <w:tab w:val="decimal" w:pos="8788"/>
        </w:tabs>
        <w:spacing w:after="0" w:line="240" w:lineRule="auto"/>
        <w:jc w:val="center"/>
        <w:rPr>
          <w:rFonts w:ascii="Times New Roman" w:eastAsia="Times New Roman" w:hAnsi="Times New Roman" w:cs="Times New Roman"/>
        </w:rPr>
      </w:pPr>
    </w:p>
    <w:p w14:paraId="3165C18C" w14:textId="77777777" w:rsidR="00415971" w:rsidRDefault="00415971">
      <w:pPr>
        <w:tabs>
          <w:tab w:val="left" w:pos="2127"/>
          <w:tab w:val="decimal" w:pos="6804"/>
          <w:tab w:val="decimal" w:pos="8788"/>
        </w:tabs>
        <w:spacing w:after="0" w:line="240" w:lineRule="auto"/>
        <w:jc w:val="center"/>
        <w:rPr>
          <w:rFonts w:ascii="Times New Roman" w:eastAsia="Times New Roman" w:hAnsi="Times New Roman" w:cs="Times New Roman"/>
        </w:rPr>
      </w:pPr>
    </w:p>
    <w:p w14:paraId="27BEE783" w14:textId="36D66453" w:rsidR="00415971" w:rsidRDefault="00951BD2">
      <w:pPr>
        <w:spacing w:after="0" w:line="360" w:lineRule="auto"/>
        <w:ind w:left="220"/>
        <w:jc w:val="both"/>
        <w:rPr>
          <w:rFonts w:ascii="Times New Roman" w:eastAsia="Times New Roman" w:hAnsi="Times New Roman" w:cs="Times New Roman"/>
          <w:b/>
          <w:bCs/>
          <w:sz w:val="20"/>
          <w:szCs w:val="20"/>
        </w:rPr>
      </w:pPr>
      <w:r w:rsidRPr="00951BD2">
        <w:rPr>
          <w:noProof/>
          <w:lang w:val="ru-RU"/>
        </w:rPr>
        <w:drawing>
          <wp:inline distT="0" distB="0" distL="0" distR="0" wp14:anchorId="11457334" wp14:editId="23F4DCE8">
            <wp:extent cx="6296025" cy="476914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96025" cy="4769145"/>
                    </a:xfrm>
                    <a:prstGeom prst="rect">
                      <a:avLst/>
                    </a:prstGeom>
                    <a:noFill/>
                    <a:ln>
                      <a:noFill/>
                    </a:ln>
                  </pic:spPr>
                </pic:pic>
              </a:graphicData>
            </a:graphic>
          </wp:inline>
        </w:drawing>
      </w:r>
    </w:p>
    <w:p w14:paraId="61C44349" w14:textId="77777777" w:rsidR="00415971" w:rsidRDefault="008E6DD4">
      <w:pPr>
        <w:spacing w:after="0" w:line="240" w:lineRule="auto"/>
      </w:pPr>
      <w:r>
        <w:br w:type="page"/>
      </w:r>
    </w:p>
    <w:p w14:paraId="41563849" w14:textId="77777777" w:rsidR="00415971" w:rsidRDefault="008E6DD4">
      <w:pPr>
        <w:pStyle w:val="ZX1CompanyName12"/>
        <w:jc w:val="center"/>
        <w:rPr>
          <w:rFonts w:ascii="Times New Roman" w:eastAsia="Times New Roman" w:hAnsi="Times New Roman" w:cs="Times New Roman"/>
          <w:b w:val="0"/>
          <w:bCs w:val="0"/>
          <w:caps w:val="0"/>
          <w:sz w:val="28"/>
          <w:szCs w:val="28"/>
        </w:rPr>
      </w:pPr>
      <w:r>
        <w:rPr>
          <w:rFonts w:ascii="Times New Roman" w:hAnsi="Times New Roman"/>
          <w:b w:val="0"/>
          <w:bCs w:val="0"/>
          <w:caps w:val="0"/>
          <w:sz w:val="28"/>
          <w:szCs w:val="28"/>
        </w:rPr>
        <w:lastRenderedPageBreak/>
        <w:t xml:space="preserve">Consolidated statement of cash flows </w:t>
      </w:r>
    </w:p>
    <w:p w14:paraId="23BA3086" w14:textId="4E9D7EA3" w:rsidR="00415971" w:rsidRDefault="008E6DD4">
      <w:pPr>
        <w:pStyle w:val="ZX1CompanyName12"/>
        <w:jc w:val="center"/>
        <w:rPr>
          <w:rFonts w:ascii="Times New Roman" w:eastAsia="Times New Roman" w:hAnsi="Times New Roman" w:cs="Times New Roman"/>
          <w:b w:val="0"/>
          <w:bCs w:val="0"/>
          <w:caps w:val="0"/>
          <w:sz w:val="28"/>
          <w:szCs w:val="28"/>
        </w:rPr>
      </w:pPr>
      <w:r>
        <w:rPr>
          <w:rFonts w:ascii="Times New Roman" w:hAnsi="Times New Roman"/>
          <w:b w:val="0"/>
          <w:bCs w:val="0"/>
          <w:caps w:val="0"/>
          <w:sz w:val="28"/>
          <w:szCs w:val="28"/>
        </w:rPr>
        <w:t>for the year ended 31 December 2021</w:t>
      </w:r>
    </w:p>
    <w:p w14:paraId="38E43CA7" w14:textId="77777777" w:rsidR="00415971" w:rsidRDefault="00415971">
      <w:pPr>
        <w:spacing w:after="0" w:line="240" w:lineRule="auto"/>
        <w:jc w:val="center"/>
        <w:rPr>
          <w:rFonts w:ascii="Times New Roman" w:eastAsia="Times New Roman" w:hAnsi="Times New Roman" w:cs="Times New Roman"/>
          <w:sz w:val="16"/>
          <w:szCs w:val="16"/>
        </w:rPr>
      </w:pPr>
    </w:p>
    <w:p w14:paraId="26F7A072" w14:textId="77777777" w:rsidR="00415971" w:rsidRDefault="008E6DD4">
      <w:pPr>
        <w:spacing w:after="0" w:line="240" w:lineRule="auto"/>
        <w:jc w:val="center"/>
        <w:rPr>
          <w:rFonts w:ascii="Times New Roman" w:eastAsia="Times New Roman" w:hAnsi="Times New Roman" w:cs="Times New Roman"/>
          <w:i/>
          <w:iCs/>
        </w:rPr>
      </w:pPr>
      <w:r>
        <w:rPr>
          <w:rFonts w:ascii="Times New Roman" w:hAnsi="Times New Roman"/>
          <w:i/>
          <w:iCs/>
        </w:rPr>
        <w:t>(All amounts are in thousands of Russian roubles unless specified otherwise)</w:t>
      </w:r>
    </w:p>
    <w:p w14:paraId="04D2FDB9" w14:textId="77777777" w:rsidR="00415971" w:rsidRDefault="00415971">
      <w:pPr>
        <w:spacing w:after="0" w:line="240" w:lineRule="auto"/>
        <w:jc w:val="center"/>
        <w:rPr>
          <w:rFonts w:ascii="Times New Roman" w:eastAsia="Times New Roman" w:hAnsi="Times New Roman" w:cs="Times New Roman"/>
        </w:rPr>
      </w:pPr>
    </w:p>
    <w:p w14:paraId="2D5C608D" w14:textId="77777777" w:rsidR="00415971" w:rsidRDefault="00415971">
      <w:pPr>
        <w:spacing w:after="0" w:line="240" w:lineRule="auto"/>
        <w:jc w:val="center"/>
        <w:rPr>
          <w:rFonts w:ascii="Times New Roman" w:eastAsia="Times New Roman" w:hAnsi="Times New Roman" w:cs="Times New Roman"/>
        </w:rPr>
      </w:pPr>
    </w:p>
    <w:p w14:paraId="4BF0B97E" w14:textId="4C84F18A" w:rsidR="00415971" w:rsidRDefault="00951BD2">
      <w:pPr>
        <w:spacing w:after="0" w:line="240" w:lineRule="auto"/>
        <w:jc w:val="both"/>
        <w:rPr>
          <w:rFonts w:ascii="Arial" w:eastAsia="Arial" w:hAnsi="Arial" w:cs="Arial"/>
          <w:color w:val="808080"/>
          <w:sz w:val="18"/>
          <w:szCs w:val="18"/>
          <w:u w:color="808080"/>
        </w:rPr>
      </w:pPr>
      <w:r w:rsidRPr="00951BD2">
        <w:rPr>
          <w:noProof/>
          <w:lang w:val="ru-RU"/>
        </w:rPr>
        <w:drawing>
          <wp:inline distT="0" distB="0" distL="0" distR="0" wp14:anchorId="27F11870" wp14:editId="097A9828">
            <wp:extent cx="6296025" cy="6145222"/>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96025" cy="6145222"/>
                    </a:xfrm>
                    <a:prstGeom prst="rect">
                      <a:avLst/>
                    </a:prstGeom>
                    <a:noFill/>
                    <a:ln>
                      <a:noFill/>
                    </a:ln>
                  </pic:spPr>
                </pic:pic>
              </a:graphicData>
            </a:graphic>
          </wp:inline>
        </w:drawing>
      </w:r>
    </w:p>
    <w:p w14:paraId="6D09006B" w14:textId="77777777" w:rsidR="00415971" w:rsidRDefault="008E6DD4">
      <w:pPr>
        <w:spacing w:after="0" w:line="240" w:lineRule="auto"/>
      </w:pPr>
      <w:r>
        <w:br w:type="page"/>
      </w:r>
    </w:p>
    <w:p w14:paraId="0D620D6C" w14:textId="77777777" w:rsidR="00415971" w:rsidRDefault="008E6DD4">
      <w:pPr>
        <w:pStyle w:val="ZX1CompanyName12"/>
        <w:jc w:val="center"/>
        <w:rPr>
          <w:rFonts w:ascii="Times New Roman" w:eastAsia="Times New Roman" w:hAnsi="Times New Roman" w:cs="Times New Roman"/>
          <w:b w:val="0"/>
          <w:bCs w:val="0"/>
          <w:caps w:val="0"/>
          <w:sz w:val="28"/>
          <w:szCs w:val="28"/>
        </w:rPr>
      </w:pPr>
      <w:r>
        <w:rPr>
          <w:rFonts w:ascii="Times New Roman" w:hAnsi="Times New Roman"/>
          <w:b w:val="0"/>
          <w:bCs w:val="0"/>
          <w:caps w:val="0"/>
          <w:sz w:val="28"/>
          <w:szCs w:val="28"/>
        </w:rPr>
        <w:lastRenderedPageBreak/>
        <w:t xml:space="preserve">Consolidated statement of cash flows </w:t>
      </w:r>
    </w:p>
    <w:p w14:paraId="05A9A827" w14:textId="0699283E" w:rsidR="00415971" w:rsidRDefault="008E6DD4">
      <w:pPr>
        <w:pStyle w:val="ZX1CompanyName12"/>
        <w:jc w:val="center"/>
        <w:rPr>
          <w:rFonts w:ascii="Times New Roman" w:eastAsia="Times New Roman" w:hAnsi="Times New Roman" w:cs="Times New Roman"/>
          <w:b w:val="0"/>
          <w:bCs w:val="0"/>
          <w:caps w:val="0"/>
          <w:sz w:val="28"/>
          <w:szCs w:val="28"/>
        </w:rPr>
      </w:pPr>
      <w:r>
        <w:rPr>
          <w:rFonts w:ascii="Times New Roman" w:hAnsi="Times New Roman"/>
          <w:b w:val="0"/>
          <w:bCs w:val="0"/>
          <w:caps w:val="0"/>
          <w:sz w:val="28"/>
          <w:szCs w:val="28"/>
        </w:rPr>
        <w:t>for the year ended 31 December 2021</w:t>
      </w:r>
    </w:p>
    <w:p w14:paraId="58A49152" w14:textId="77777777" w:rsidR="00415971" w:rsidRDefault="00415971">
      <w:pPr>
        <w:spacing w:after="0" w:line="240" w:lineRule="auto"/>
        <w:jc w:val="center"/>
        <w:rPr>
          <w:rFonts w:ascii="Times New Roman" w:eastAsia="Times New Roman" w:hAnsi="Times New Roman" w:cs="Times New Roman"/>
          <w:sz w:val="28"/>
          <w:szCs w:val="28"/>
        </w:rPr>
      </w:pPr>
    </w:p>
    <w:p w14:paraId="3C67D69F" w14:textId="77777777" w:rsidR="00415971" w:rsidRDefault="008E6DD4">
      <w:pPr>
        <w:spacing w:after="0" w:line="240" w:lineRule="auto"/>
        <w:jc w:val="center"/>
        <w:rPr>
          <w:rFonts w:ascii="Times New Roman" w:eastAsia="Times New Roman" w:hAnsi="Times New Roman" w:cs="Times New Roman"/>
          <w:i/>
          <w:iCs/>
        </w:rPr>
      </w:pPr>
      <w:r>
        <w:rPr>
          <w:rFonts w:ascii="Times New Roman" w:hAnsi="Times New Roman"/>
          <w:i/>
          <w:iCs/>
        </w:rPr>
        <w:t>(All amounts are in thousands of Russian roubles unless specified otherwise)</w:t>
      </w:r>
    </w:p>
    <w:p w14:paraId="76A177D0" w14:textId="77777777" w:rsidR="00415971" w:rsidRDefault="00415971">
      <w:pPr>
        <w:spacing w:after="0" w:line="240" w:lineRule="auto"/>
        <w:jc w:val="center"/>
        <w:rPr>
          <w:rFonts w:ascii="Times New Roman" w:eastAsia="Times New Roman" w:hAnsi="Times New Roman" w:cs="Times New Roman"/>
          <w:sz w:val="28"/>
          <w:szCs w:val="28"/>
        </w:rPr>
      </w:pPr>
    </w:p>
    <w:p w14:paraId="2B7E4F8A" w14:textId="77777777" w:rsidR="00415971" w:rsidRDefault="00415971">
      <w:pPr>
        <w:spacing w:after="0" w:line="240" w:lineRule="auto"/>
        <w:jc w:val="center"/>
        <w:rPr>
          <w:rFonts w:ascii="Times New Roman" w:eastAsia="Times New Roman" w:hAnsi="Times New Roman" w:cs="Times New Roman"/>
          <w:sz w:val="20"/>
          <w:szCs w:val="20"/>
        </w:rPr>
      </w:pPr>
    </w:p>
    <w:p w14:paraId="27BE270B" w14:textId="77777777" w:rsidR="00415971" w:rsidRDefault="00415971">
      <w:pPr>
        <w:spacing w:after="0" w:line="240" w:lineRule="auto"/>
        <w:jc w:val="center"/>
        <w:rPr>
          <w:rFonts w:ascii="Times New Roman" w:eastAsia="Times New Roman" w:hAnsi="Times New Roman" w:cs="Times New Roman"/>
          <w:sz w:val="20"/>
          <w:szCs w:val="20"/>
        </w:rPr>
      </w:pPr>
    </w:p>
    <w:p w14:paraId="44EC9688" w14:textId="321E056F" w:rsidR="00415971" w:rsidRDefault="00951BD2">
      <w:pPr>
        <w:spacing w:after="0" w:line="240" w:lineRule="auto"/>
        <w:jc w:val="both"/>
      </w:pPr>
      <w:r w:rsidRPr="00951BD2">
        <w:rPr>
          <w:noProof/>
          <w:lang w:val="ru-RU"/>
        </w:rPr>
        <w:drawing>
          <wp:inline distT="0" distB="0" distL="0" distR="0" wp14:anchorId="7976C909" wp14:editId="77EE5678">
            <wp:extent cx="6296025" cy="2629627"/>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96025" cy="2629627"/>
                    </a:xfrm>
                    <a:prstGeom prst="rect">
                      <a:avLst/>
                    </a:prstGeom>
                    <a:noFill/>
                    <a:ln>
                      <a:noFill/>
                    </a:ln>
                  </pic:spPr>
                </pic:pic>
              </a:graphicData>
            </a:graphic>
          </wp:inline>
        </w:drawing>
      </w:r>
    </w:p>
    <w:sectPr w:rsidR="00415971">
      <w:headerReference w:type="default" r:id="rId14"/>
      <w:footerReference w:type="default" r:id="rId15"/>
      <w:pgSz w:w="11900" w:h="16840"/>
      <w:pgMar w:top="851" w:right="851" w:bottom="567" w:left="1134"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1C52C" w14:textId="77777777" w:rsidR="00DD34CC" w:rsidRDefault="00DD34CC">
      <w:pPr>
        <w:spacing w:after="0" w:line="240" w:lineRule="auto"/>
      </w:pPr>
      <w:r>
        <w:separator/>
      </w:r>
    </w:p>
  </w:endnote>
  <w:endnote w:type="continuationSeparator" w:id="0">
    <w:p w14:paraId="7A265D13" w14:textId="77777777" w:rsidR="00DD34CC" w:rsidRDefault="00DD3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F11B9" w14:textId="2BAFD6F9" w:rsidR="00415971" w:rsidRDefault="008E6DD4">
    <w:pPr>
      <w:pStyle w:val="a5"/>
      <w:jc w:val="right"/>
    </w:pPr>
    <w:r>
      <w:fldChar w:fldCharType="begin"/>
    </w:r>
    <w:r>
      <w:instrText xml:space="preserve"> PAGE </w:instrText>
    </w:r>
    <w:r>
      <w:fldChar w:fldCharType="separate"/>
    </w:r>
    <w:r w:rsidR="00B2639E">
      <w:rPr>
        <w:noProof/>
      </w:rPr>
      <w:t>1</w:t>
    </w:r>
    <w:r>
      <w:fldChar w:fldCharType="end"/>
    </w:r>
  </w:p>
  <w:p w14:paraId="2EB7C3CB" w14:textId="77777777" w:rsidR="00415971" w:rsidRDefault="004159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F3881" w14:textId="77777777" w:rsidR="00DD34CC" w:rsidRDefault="00DD34CC">
      <w:pPr>
        <w:spacing w:after="0" w:line="240" w:lineRule="auto"/>
      </w:pPr>
      <w:r>
        <w:separator/>
      </w:r>
    </w:p>
  </w:footnote>
  <w:footnote w:type="continuationSeparator" w:id="0">
    <w:p w14:paraId="18D1328B" w14:textId="77777777" w:rsidR="00DD34CC" w:rsidRDefault="00DD34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31E40" w14:textId="77777777" w:rsidR="00415971" w:rsidRDefault="008E6DD4">
    <w:pPr>
      <w:pStyle w:val="a4"/>
      <w:jc w:val="center"/>
    </w:pPr>
    <w:r>
      <w:rPr>
        <w:rFonts w:ascii="Arial" w:hAnsi="Arial"/>
        <w:b/>
        <w:bCs/>
        <w:color w:val="333333"/>
        <w:sz w:val="18"/>
        <w:szCs w:val="18"/>
        <w:u w:color="333333"/>
      </w:rPr>
      <w:t>NOT TO BE RELEASED IN THE UNITED STATES OF AMERICA, AUSTRALIA, CANADA, OR JAPAN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5827"/>
    <w:multiLevelType w:val="hybridMultilevel"/>
    <w:tmpl w:val="5246A768"/>
    <w:numStyleLink w:val="1"/>
  </w:abstractNum>
  <w:abstractNum w:abstractNumId="1" w15:restartNumberingAfterBreak="0">
    <w:nsid w:val="190934D9"/>
    <w:multiLevelType w:val="hybridMultilevel"/>
    <w:tmpl w:val="5246A768"/>
    <w:styleLink w:val="1"/>
    <w:lvl w:ilvl="0" w:tplc="DEB6741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C8099C0">
      <w:start w:val="1"/>
      <w:numFmt w:val="bullet"/>
      <w:lvlText w:val="o"/>
      <w:lvlJc w:val="left"/>
      <w:pPr>
        <w:ind w:left="10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E98BF26">
      <w:start w:val="1"/>
      <w:numFmt w:val="bullet"/>
      <w:lvlText w:val="▪"/>
      <w:lvlJc w:val="left"/>
      <w:pPr>
        <w:ind w:left="17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950B462">
      <w:start w:val="1"/>
      <w:numFmt w:val="bullet"/>
      <w:lvlText w:val="·"/>
      <w:lvlJc w:val="left"/>
      <w:pPr>
        <w:ind w:left="244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6EE23C0">
      <w:start w:val="1"/>
      <w:numFmt w:val="bullet"/>
      <w:lvlText w:val="o"/>
      <w:lvlJc w:val="left"/>
      <w:pPr>
        <w:ind w:left="316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D1249B8">
      <w:start w:val="1"/>
      <w:numFmt w:val="bullet"/>
      <w:lvlText w:val="▪"/>
      <w:lvlJc w:val="left"/>
      <w:pPr>
        <w:ind w:left="388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74A77CE">
      <w:start w:val="1"/>
      <w:numFmt w:val="bullet"/>
      <w:lvlText w:val="·"/>
      <w:lvlJc w:val="left"/>
      <w:pPr>
        <w:ind w:left="460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3944DDE">
      <w:start w:val="1"/>
      <w:numFmt w:val="bullet"/>
      <w:lvlText w:val="o"/>
      <w:lvlJc w:val="left"/>
      <w:pPr>
        <w:ind w:left="53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D3E6CBA">
      <w:start w:val="1"/>
      <w:numFmt w:val="bullet"/>
      <w:lvlText w:val="▪"/>
      <w:lvlJc w:val="left"/>
      <w:pPr>
        <w:ind w:left="60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2FE2F0D"/>
    <w:multiLevelType w:val="hybridMultilevel"/>
    <w:tmpl w:val="8C620C4C"/>
    <w:styleLink w:val="2"/>
    <w:lvl w:ilvl="0" w:tplc="38E2C638">
      <w:start w:val="1"/>
      <w:numFmt w:val="bullet"/>
      <w:lvlText w:val="·"/>
      <w:lvlJc w:val="left"/>
      <w:pPr>
        <w:ind w:left="294" w:hanging="29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9FCF618">
      <w:start w:val="1"/>
      <w:numFmt w:val="bullet"/>
      <w:lvlText w:val="o"/>
      <w:lvlJc w:val="left"/>
      <w:pPr>
        <w:ind w:left="1014"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A36884E">
      <w:start w:val="1"/>
      <w:numFmt w:val="bullet"/>
      <w:lvlText w:val="▪"/>
      <w:lvlJc w:val="left"/>
      <w:pPr>
        <w:ind w:left="1734"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258B35A">
      <w:start w:val="1"/>
      <w:numFmt w:val="bullet"/>
      <w:lvlText w:val="·"/>
      <w:lvlJc w:val="left"/>
      <w:pPr>
        <w:ind w:left="2454" w:hanging="29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966B5E2">
      <w:start w:val="1"/>
      <w:numFmt w:val="bullet"/>
      <w:lvlText w:val="o"/>
      <w:lvlJc w:val="left"/>
      <w:pPr>
        <w:ind w:left="3174"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968DE9A">
      <w:start w:val="1"/>
      <w:numFmt w:val="bullet"/>
      <w:lvlText w:val="▪"/>
      <w:lvlJc w:val="left"/>
      <w:pPr>
        <w:ind w:left="3894"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DCE9050">
      <w:start w:val="1"/>
      <w:numFmt w:val="bullet"/>
      <w:lvlText w:val="·"/>
      <w:lvlJc w:val="left"/>
      <w:pPr>
        <w:ind w:left="4614" w:hanging="29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0CAA1A8">
      <w:start w:val="1"/>
      <w:numFmt w:val="bullet"/>
      <w:lvlText w:val="o"/>
      <w:lvlJc w:val="left"/>
      <w:pPr>
        <w:ind w:left="5334"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2F88620">
      <w:start w:val="1"/>
      <w:numFmt w:val="bullet"/>
      <w:lvlText w:val="▪"/>
      <w:lvlJc w:val="left"/>
      <w:pPr>
        <w:ind w:left="6054"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DE30A35"/>
    <w:multiLevelType w:val="hybridMultilevel"/>
    <w:tmpl w:val="8C620C4C"/>
    <w:numStyleLink w:val="2"/>
  </w:abstractNum>
  <w:num w:numId="1" w16cid:durableId="1945729560">
    <w:abstractNumId w:val="1"/>
  </w:num>
  <w:num w:numId="2" w16cid:durableId="1916862871">
    <w:abstractNumId w:val="0"/>
  </w:num>
  <w:num w:numId="3" w16cid:durableId="1261451859">
    <w:abstractNumId w:val="2"/>
  </w:num>
  <w:num w:numId="4" w16cid:durableId="6689461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5971"/>
    <w:rsid w:val="00013F0C"/>
    <w:rsid w:val="000A5A1C"/>
    <w:rsid w:val="000E54BC"/>
    <w:rsid w:val="000F209C"/>
    <w:rsid w:val="00104D24"/>
    <w:rsid w:val="001258A4"/>
    <w:rsid w:val="001A4D7A"/>
    <w:rsid w:val="001D54A4"/>
    <w:rsid w:val="001E481F"/>
    <w:rsid w:val="001F6A03"/>
    <w:rsid w:val="00271263"/>
    <w:rsid w:val="0032021C"/>
    <w:rsid w:val="0036444A"/>
    <w:rsid w:val="00382F03"/>
    <w:rsid w:val="003E017F"/>
    <w:rsid w:val="003E57D4"/>
    <w:rsid w:val="003E5E5C"/>
    <w:rsid w:val="00415971"/>
    <w:rsid w:val="00482374"/>
    <w:rsid w:val="004936F2"/>
    <w:rsid w:val="004F4538"/>
    <w:rsid w:val="005074AE"/>
    <w:rsid w:val="005504D5"/>
    <w:rsid w:val="005877E5"/>
    <w:rsid w:val="005A5C7C"/>
    <w:rsid w:val="005B5C12"/>
    <w:rsid w:val="00657008"/>
    <w:rsid w:val="00683762"/>
    <w:rsid w:val="006A415B"/>
    <w:rsid w:val="006A48FC"/>
    <w:rsid w:val="007177AA"/>
    <w:rsid w:val="00737E26"/>
    <w:rsid w:val="007B0C5B"/>
    <w:rsid w:val="00836154"/>
    <w:rsid w:val="00842234"/>
    <w:rsid w:val="008E6DD4"/>
    <w:rsid w:val="00906DAA"/>
    <w:rsid w:val="00914B1A"/>
    <w:rsid w:val="00933E3C"/>
    <w:rsid w:val="00951BD2"/>
    <w:rsid w:val="00961A07"/>
    <w:rsid w:val="009D5C86"/>
    <w:rsid w:val="00A15A64"/>
    <w:rsid w:val="00A213B3"/>
    <w:rsid w:val="00A61FDB"/>
    <w:rsid w:val="00B2639E"/>
    <w:rsid w:val="00B27E5A"/>
    <w:rsid w:val="00B55294"/>
    <w:rsid w:val="00C03620"/>
    <w:rsid w:val="00C14D8E"/>
    <w:rsid w:val="00CB42B3"/>
    <w:rsid w:val="00CD4A72"/>
    <w:rsid w:val="00D14281"/>
    <w:rsid w:val="00D174C8"/>
    <w:rsid w:val="00D265B8"/>
    <w:rsid w:val="00D44609"/>
    <w:rsid w:val="00DB0CF3"/>
    <w:rsid w:val="00DD34CC"/>
    <w:rsid w:val="00DE718D"/>
    <w:rsid w:val="00E07FDF"/>
    <w:rsid w:val="00E13EE7"/>
    <w:rsid w:val="00E52CD5"/>
    <w:rsid w:val="00E77077"/>
    <w:rsid w:val="00E80EAB"/>
    <w:rsid w:val="00EA2D45"/>
    <w:rsid w:val="00EA30E8"/>
    <w:rsid w:val="00EC5A63"/>
    <w:rsid w:val="00F02CBD"/>
    <w:rsid w:val="00F26686"/>
    <w:rsid w:val="00F37485"/>
    <w:rsid w:val="00F45C3D"/>
    <w:rsid w:val="00F47606"/>
    <w:rsid w:val="00F70D42"/>
    <w:rsid w:val="00FE4210"/>
    <w:rsid w:val="00FE7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6FCF2"/>
  <w15:docId w15:val="{A2241311-F794-4BDD-B460-835ECB5FA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Calibri" w:eastAsia="Calibri" w:hAnsi="Calibri" w:cs="Calibri"/>
      <w:color w:val="000000"/>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a4">
    <w:name w:val="header"/>
    <w:pPr>
      <w:tabs>
        <w:tab w:val="center" w:pos="4677"/>
        <w:tab w:val="right" w:pos="9355"/>
      </w:tabs>
      <w:spacing w:after="200" w:line="276" w:lineRule="auto"/>
    </w:pPr>
    <w:rPr>
      <w:rFonts w:ascii="Calibri" w:hAnsi="Calibri" w:cs="Arial Unicode MS"/>
      <w:color w:val="000000"/>
      <w:sz w:val="22"/>
      <w:szCs w:val="22"/>
      <w:u w:color="000000"/>
    </w:rPr>
  </w:style>
  <w:style w:type="paragraph" w:styleId="a5">
    <w:name w:val="footer"/>
    <w:pPr>
      <w:tabs>
        <w:tab w:val="center" w:pos="4677"/>
        <w:tab w:val="right" w:pos="9355"/>
      </w:tabs>
      <w:spacing w:after="200" w:line="276" w:lineRule="auto"/>
    </w:pPr>
    <w:rPr>
      <w:rFonts w:ascii="Calibri" w:eastAsia="Calibri" w:hAnsi="Calibri" w:cs="Calibri"/>
      <w:color w:val="000000"/>
      <w:sz w:val="22"/>
      <w:szCs w:val="22"/>
      <w:u w:color="000000"/>
    </w:rPr>
  </w:style>
  <w:style w:type="paragraph" w:styleId="a6">
    <w:name w:val="List Paragraph"/>
    <w:pPr>
      <w:ind w:left="720"/>
      <w:jc w:val="both"/>
    </w:pPr>
    <w:rPr>
      <w:rFonts w:eastAsia="Times New Roman"/>
      <w:color w:val="000000"/>
      <w:sz w:val="22"/>
      <w:szCs w:val="22"/>
      <w:u w:color="000000"/>
    </w:rPr>
  </w:style>
  <w:style w:type="numbering" w:customStyle="1" w:styleId="1">
    <w:name w:val="Импортированный стиль 1"/>
    <w:pPr>
      <w:numPr>
        <w:numId w:val="1"/>
      </w:numPr>
    </w:pPr>
  </w:style>
  <w:style w:type="numbering" w:customStyle="1" w:styleId="2">
    <w:name w:val="Импортированный стиль 2"/>
    <w:pPr>
      <w:numPr>
        <w:numId w:val="3"/>
      </w:numPr>
    </w:pPr>
  </w:style>
  <w:style w:type="paragraph" w:styleId="a7">
    <w:name w:val="footnote text"/>
    <w:rPr>
      <w:rFonts w:ascii="Arial" w:eastAsia="Arial" w:hAnsi="Arial" w:cs="Arial"/>
      <w:color w:val="000000"/>
      <w:u w:color="000000"/>
    </w:rPr>
  </w:style>
  <w:style w:type="paragraph" w:customStyle="1" w:styleId="ZX1CompanyName12">
    <w:name w:val="ZX_1CompanyName_12"/>
    <w:rPr>
      <w:rFonts w:ascii="Arial" w:eastAsia="Arial" w:hAnsi="Arial" w:cs="Arial"/>
      <w:b/>
      <w:bCs/>
      <w:caps/>
      <w:color w:val="000000"/>
      <w:sz w:val="24"/>
      <w:szCs w:val="24"/>
      <w:u w:color="000000"/>
    </w:rPr>
  </w:style>
  <w:style w:type="character" w:styleId="a8">
    <w:name w:val="annotation reference"/>
    <w:basedOn w:val="a0"/>
    <w:uiPriority w:val="99"/>
    <w:semiHidden/>
    <w:unhideWhenUsed/>
    <w:rsid w:val="00A61FDB"/>
    <w:rPr>
      <w:sz w:val="16"/>
      <w:szCs w:val="16"/>
    </w:rPr>
  </w:style>
  <w:style w:type="paragraph" w:styleId="a9">
    <w:name w:val="annotation text"/>
    <w:basedOn w:val="a"/>
    <w:link w:val="aa"/>
    <w:uiPriority w:val="99"/>
    <w:unhideWhenUsed/>
    <w:rsid w:val="00A61FDB"/>
    <w:pPr>
      <w:spacing w:line="240" w:lineRule="auto"/>
    </w:pPr>
    <w:rPr>
      <w:sz w:val="20"/>
      <w:szCs w:val="20"/>
    </w:rPr>
  </w:style>
  <w:style w:type="character" w:customStyle="1" w:styleId="aa">
    <w:name w:val="Текст примечания Знак"/>
    <w:basedOn w:val="a0"/>
    <w:link w:val="a9"/>
    <w:uiPriority w:val="99"/>
    <w:rsid w:val="00A61FDB"/>
    <w:rPr>
      <w:rFonts w:ascii="Calibri" w:eastAsia="Calibri" w:hAnsi="Calibri" w:cs="Calibri"/>
      <w:color w:val="000000"/>
      <w:u w:color="000000"/>
    </w:rPr>
  </w:style>
  <w:style w:type="paragraph" w:styleId="ab">
    <w:name w:val="annotation subject"/>
    <w:basedOn w:val="a9"/>
    <w:next w:val="a9"/>
    <w:link w:val="ac"/>
    <w:uiPriority w:val="99"/>
    <w:semiHidden/>
    <w:unhideWhenUsed/>
    <w:rsid w:val="00A61FDB"/>
    <w:rPr>
      <w:b/>
      <w:bCs/>
    </w:rPr>
  </w:style>
  <w:style w:type="character" w:customStyle="1" w:styleId="ac">
    <w:name w:val="Тема примечания Знак"/>
    <w:basedOn w:val="aa"/>
    <w:link w:val="ab"/>
    <w:uiPriority w:val="99"/>
    <w:semiHidden/>
    <w:rsid w:val="00A61FDB"/>
    <w:rPr>
      <w:rFonts w:ascii="Calibri" w:eastAsia="Calibri" w:hAnsi="Calibri" w:cs="Calibri"/>
      <w:b/>
      <w:bCs/>
      <w:color w:val="000000"/>
      <w:u w:color="000000"/>
    </w:rPr>
  </w:style>
  <w:style w:type="paragraph" w:styleId="ad">
    <w:name w:val="Revision"/>
    <w:hidden/>
    <w:uiPriority w:val="99"/>
    <w:semiHidden/>
    <w:rsid w:val="001D54A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 w:type="paragraph" w:styleId="ae">
    <w:name w:val="Balloon Text"/>
    <w:basedOn w:val="a"/>
    <w:link w:val="af"/>
    <w:uiPriority w:val="99"/>
    <w:semiHidden/>
    <w:unhideWhenUsed/>
    <w:rsid w:val="000E54B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E54BC"/>
    <w:rPr>
      <w:rFonts w:ascii="Tahoma" w:eastAsia="Calibri" w:hAnsi="Tahoma" w:cs="Tahoma"/>
      <w:color w:val="000000"/>
      <w:sz w:val="16"/>
      <w:szCs w:val="16"/>
      <w:u w:color="000000"/>
    </w:rPr>
  </w:style>
  <w:style w:type="paragraph" w:customStyle="1" w:styleId="Default">
    <w:name w:val="Default"/>
    <w:rsid w:val="00DB0CF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imes New Roman" w:hAnsi="Arial" w:cs="Arial"/>
      <w:color w:val="000000"/>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538586">
      <w:bodyDiv w:val="1"/>
      <w:marLeft w:val="0"/>
      <w:marRight w:val="0"/>
      <w:marTop w:val="0"/>
      <w:marBottom w:val="0"/>
      <w:divBdr>
        <w:top w:val="none" w:sz="0" w:space="0" w:color="auto"/>
        <w:left w:val="none" w:sz="0" w:space="0" w:color="auto"/>
        <w:bottom w:val="none" w:sz="0" w:space="0" w:color="auto"/>
        <w:right w:val="none" w:sz="0" w:space="0" w:color="auto"/>
      </w:divBdr>
    </w:div>
    <w:div w:id="1793358315">
      <w:bodyDiv w:val="1"/>
      <w:marLeft w:val="0"/>
      <w:marRight w:val="0"/>
      <w:marTop w:val="0"/>
      <w:marBottom w:val="0"/>
      <w:divBdr>
        <w:top w:val="none" w:sz="0" w:space="0" w:color="auto"/>
        <w:left w:val="none" w:sz="0" w:space="0" w:color="auto"/>
        <w:bottom w:val="none" w:sz="0" w:space="0" w:color="auto"/>
        <w:right w:val="none" w:sz="0" w:space="0" w:color="auto"/>
      </w:divBdr>
    </w:div>
    <w:div w:id="2092654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hyperlink" Target="http://www.rosinter.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2418</Words>
  <Characters>13787</Characters>
  <Application>Microsoft Office Word</Application>
  <DocSecurity>0</DocSecurity>
  <Lines>114</Lines>
  <Paragraphs>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Chirkova Olga</dc:creator>
  <cp:lastModifiedBy>Zotova Tatyana</cp:lastModifiedBy>
  <cp:revision>13</cp:revision>
  <cp:lastPrinted>2022-04-28T12:24:00Z</cp:lastPrinted>
  <dcterms:created xsi:type="dcterms:W3CDTF">2022-04-28T09:42:00Z</dcterms:created>
  <dcterms:modified xsi:type="dcterms:W3CDTF">2022-04-28T12:43:00Z</dcterms:modified>
</cp:coreProperties>
</file>